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F7EA9">
      <w:pPr>
        <w:pStyle w:val="5"/>
        <w:keepNext/>
        <w:numPr>
          <w:ilvl w:val="0"/>
          <w:numId w:val="0"/>
        </w:numPr>
        <w:tabs>
          <w:tab w:val="left" w:pos="360"/>
        </w:tabs>
        <w:adjustRightInd/>
        <w:snapToGrid/>
        <w:spacing w:before="0" w:after="0" w:line="240" w:lineRule="auto"/>
        <w:rPr>
          <w:rFonts w:hint="eastAsia" w:ascii="黑体" w:hAnsi="黑体" w:eastAsia="黑体" w:cs="黑体"/>
          <w:color w:val="auto"/>
          <w:sz w:val="32"/>
          <w:szCs w:val="32"/>
          <w:highlight w:val="yellow"/>
        </w:rPr>
      </w:pPr>
      <w:bookmarkStart w:id="0" w:name="OLE_LINK89"/>
      <w:bookmarkStart w:id="1" w:name="OLE_LINK85"/>
      <w:bookmarkStart w:id="2" w:name="OLE_LINK30"/>
      <w:bookmarkStart w:id="3" w:name="_Toc11037"/>
      <w:bookmarkStart w:id="133" w:name="_GoBack"/>
      <w:r>
        <w:rPr>
          <w:rFonts w:hint="eastAsia" w:ascii="黑体" w:hAnsi="黑体" w:eastAsia="黑体" w:cs="黑体"/>
          <w:color w:val="auto"/>
          <w:sz w:val="32"/>
          <w:szCs w:val="32"/>
          <w:highlight w:val="yellow"/>
          <w:lang w:val="en-US" w:eastAsia="zh-CN"/>
        </w:rPr>
        <w:t>附件1.   电动汽车“星级充电站”等级</w:t>
      </w:r>
      <w:r>
        <w:rPr>
          <w:rFonts w:hint="eastAsia" w:ascii="黑体" w:hAnsi="黑体" w:eastAsia="黑体" w:cs="黑体"/>
          <w:color w:val="auto"/>
          <w:sz w:val="32"/>
          <w:szCs w:val="32"/>
          <w:highlight w:val="yellow"/>
        </w:rPr>
        <w:t>基本要求</w:t>
      </w:r>
      <w:bookmarkEnd w:id="0"/>
      <w:bookmarkEnd w:id="1"/>
      <w:bookmarkEnd w:id="2"/>
    </w:p>
    <w:bookmarkEnd w:id="133"/>
    <w:p w14:paraId="055678A1">
      <w:pPr>
        <w:pStyle w:val="5"/>
        <w:keepNext/>
        <w:keepLines w:val="0"/>
        <w:pageBreakBefore w:val="0"/>
        <w:widowControl/>
        <w:numPr>
          <w:ilvl w:val="0"/>
          <w:numId w:val="0"/>
        </w:numPr>
        <w:tabs>
          <w:tab w:val="left" w:pos="360"/>
        </w:tabs>
        <w:kinsoku/>
        <w:wordWrap/>
        <w:overflowPunct/>
        <w:topLinePunct w:val="0"/>
        <w:autoSpaceDE/>
        <w:autoSpaceDN/>
        <w:bidi w:val="0"/>
        <w:adjustRightInd/>
        <w:snapToGrid/>
        <w:spacing w:before="157" w:beforeLines="50" w:after="0" w:line="240" w:lineRule="auto"/>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（注：除</w:t>
      </w:r>
      <w:r>
        <w:rPr>
          <w:rFonts w:hint="default" w:ascii="Times New Roman" w:hAnsi="Times New Roman" w:cs="Times New Roman"/>
          <w:color w:val="auto"/>
          <w:highlight w:val="none"/>
          <w:lang w:val="en-US" w:eastAsia="zh-CN"/>
        </w:rPr>
        <w:t>满足合规基本要求外</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四/五</w:t>
      </w:r>
      <w:r>
        <w:rPr>
          <w:rFonts w:hint="default" w:ascii="Times New Roman" w:hAnsi="Times New Roman" w:cs="Times New Roman"/>
          <w:color w:val="auto"/>
          <w:highlight w:val="none"/>
        </w:rPr>
        <w:t>星级站还需符合以下要求）</w:t>
      </w:r>
      <w:bookmarkEnd w:id="3"/>
    </w:p>
    <w:tbl>
      <w:tblPr>
        <w:tblStyle w:val="3"/>
        <w:tblW w:w="13667"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8"/>
        <w:gridCol w:w="1856"/>
        <w:gridCol w:w="5145"/>
        <w:gridCol w:w="1833"/>
        <w:gridCol w:w="1667"/>
        <w:gridCol w:w="1998"/>
      </w:tblGrid>
      <w:tr w14:paraId="553E7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68" w:type="dxa"/>
            <w:shd w:val="clear" w:color="000000" w:fill="FFFFFF"/>
            <w:vAlign w:val="center"/>
          </w:tcPr>
          <w:p w14:paraId="58A7CA87">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一级指标</w:t>
            </w:r>
          </w:p>
        </w:tc>
        <w:tc>
          <w:tcPr>
            <w:tcW w:w="1856" w:type="dxa"/>
            <w:shd w:val="clear" w:color="000000" w:fill="FFFFFF"/>
            <w:noWrap/>
            <w:vAlign w:val="center"/>
          </w:tcPr>
          <w:p w14:paraId="05EFD9AB">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二级指标</w:t>
            </w:r>
          </w:p>
        </w:tc>
        <w:tc>
          <w:tcPr>
            <w:tcW w:w="5145" w:type="dxa"/>
            <w:shd w:val="clear" w:color="000000" w:fill="FFFFFF"/>
            <w:vAlign w:val="center"/>
          </w:tcPr>
          <w:p w14:paraId="0A71FA31">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说明</w:t>
            </w:r>
          </w:p>
        </w:tc>
        <w:tc>
          <w:tcPr>
            <w:tcW w:w="1833" w:type="dxa"/>
            <w:shd w:val="clear" w:color="000000" w:fill="FFFFFF"/>
            <w:vAlign w:val="center"/>
          </w:tcPr>
          <w:p w14:paraId="229D4AC6">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color w:val="auto"/>
                <w:kern w:val="0"/>
                <w:sz w:val="22"/>
                <w:szCs w:val="22"/>
                <w:lang w:val="en-US" w:eastAsia="zh-CN"/>
              </w:rPr>
            </w:pPr>
            <w:r>
              <w:rPr>
                <w:rFonts w:hint="default" w:ascii="Times New Roman" w:hAnsi="Times New Roman" w:eastAsia="宋体" w:cs="Times New Roman"/>
                <w:b/>
                <w:bCs/>
                <w:color w:val="auto"/>
                <w:kern w:val="0"/>
                <w:sz w:val="22"/>
                <w:szCs w:val="22"/>
                <w:lang w:val="en-US" w:eastAsia="zh-CN"/>
              </w:rPr>
              <w:t>三星及以下</w:t>
            </w:r>
          </w:p>
        </w:tc>
        <w:tc>
          <w:tcPr>
            <w:tcW w:w="1667" w:type="dxa"/>
            <w:shd w:val="clear" w:color="000000" w:fill="FFFFFF"/>
            <w:vAlign w:val="center"/>
          </w:tcPr>
          <w:p w14:paraId="1CF57D31">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四星级</w:t>
            </w:r>
          </w:p>
        </w:tc>
        <w:tc>
          <w:tcPr>
            <w:tcW w:w="1998" w:type="dxa"/>
            <w:shd w:val="clear" w:color="000000" w:fill="FFFFFF"/>
            <w:vAlign w:val="center"/>
          </w:tcPr>
          <w:p w14:paraId="4ED5D1A1">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五星级</w:t>
            </w:r>
          </w:p>
        </w:tc>
      </w:tr>
      <w:tr w14:paraId="16F3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168" w:type="dxa"/>
            <w:shd w:val="clear" w:color="000000" w:fill="FFFFFF"/>
            <w:noWrap/>
            <w:vAlign w:val="center"/>
          </w:tcPr>
          <w:p w14:paraId="3C4C3F36">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eastAsia="宋体" w:cs="Times New Roman"/>
                <w:color w:val="auto"/>
                <w:kern w:val="0"/>
                <w:szCs w:val="21"/>
              </w:rPr>
              <w:t>标识合规</w:t>
            </w:r>
          </w:p>
        </w:tc>
        <w:tc>
          <w:tcPr>
            <w:tcW w:w="1856" w:type="dxa"/>
            <w:shd w:val="clear" w:color="000000" w:fill="FFFFFF"/>
            <w:noWrap/>
            <w:vAlign w:val="center"/>
          </w:tcPr>
          <w:p w14:paraId="16768758">
            <w:pPr>
              <w:keepLines w:val="0"/>
              <w:pageBreakBefore w:val="0"/>
              <w:widowControl/>
              <w:tabs>
                <w:tab w:val="left" w:pos="1260"/>
              </w:tabs>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eastAsia="宋体" w:cs="Times New Roman"/>
                <w:color w:val="auto"/>
                <w:kern w:val="0"/>
                <w:szCs w:val="21"/>
              </w:rPr>
              <w:t>设备铭牌信息</w:t>
            </w:r>
          </w:p>
        </w:tc>
        <w:tc>
          <w:tcPr>
            <w:tcW w:w="5145" w:type="dxa"/>
            <w:shd w:val="clear" w:color="000000" w:fill="FFFFFF"/>
            <w:vAlign w:val="center"/>
          </w:tcPr>
          <w:p w14:paraId="3BE8AA0C">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r>
              <w:rPr>
                <w:rFonts w:hint="default" w:ascii="Times New Roman" w:hAnsi="Times New Roman" w:eastAsia="宋体" w:cs="Times New Roman"/>
                <w:color w:val="auto"/>
                <w:kern w:val="0"/>
                <w:szCs w:val="21"/>
              </w:rPr>
              <w:t>设备应有铭牌，铭牌信息包含充电桩型号、制造商名称、额定功率、输出电压、输出电流、生产日期等。</w:t>
            </w:r>
          </w:p>
        </w:tc>
        <w:tc>
          <w:tcPr>
            <w:tcW w:w="5498" w:type="dxa"/>
            <w:gridSpan w:val="3"/>
            <w:shd w:val="clear" w:color="000000" w:fill="FFFFFF"/>
            <w:vAlign w:val="center"/>
          </w:tcPr>
          <w:p w14:paraId="19FC88B1">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eastAsiaTheme="minorEastAsia"/>
                <w:color w:val="auto"/>
                <w:szCs w:val="21"/>
                <w:lang w:val="en-US" w:eastAsia="zh-CN"/>
              </w:rPr>
            </w:pPr>
            <w:bookmarkStart w:id="4" w:name="OLE_LINK3"/>
            <w:r>
              <w:rPr>
                <w:rFonts w:hint="default" w:ascii="Times New Roman" w:hAnsi="Times New Roman" w:cs="Times New Roman"/>
                <w:color w:val="auto"/>
                <w:szCs w:val="21"/>
                <w:lang w:val="en-US" w:eastAsia="zh-CN"/>
              </w:rPr>
              <w:t>满足说明要求</w:t>
            </w:r>
            <w:bookmarkEnd w:id="4"/>
          </w:p>
        </w:tc>
      </w:tr>
      <w:tr w14:paraId="1E30B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trPr>
        <w:tc>
          <w:tcPr>
            <w:tcW w:w="1168" w:type="dxa"/>
            <w:vMerge w:val="restart"/>
            <w:shd w:val="clear" w:color="000000" w:fill="FFFFFF"/>
            <w:noWrap/>
            <w:vAlign w:val="center"/>
          </w:tcPr>
          <w:p w14:paraId="218DA56A">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eastAsia="宋体" w:cs="Times New Roman"/>
                <w:color w:val="auto"/>
                <w:kern w:val="0"/>
                <w:szCs w:val="21"/>
              </w:rPr>
              <w:t>设施合规</w:t>
            </w:r>
          </w:p>
        </w:tc>
        <w:tc>
          <w:tcPr>
            <w:tcW w:w="1856" w:type="dxa"/>
            <w:shd w:val="clear" w:color="000000" w:fill="FFFFFF"/>
            <w:noWrap/>
            <w:vAlign w:val="center"/>
          </w:tcPr>
          <w:p w14:paraId="190318A2">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eastAsia="宋体" w:cs="Times New Roman"/>
                <w:color w:val="auto"/>
                <w:kern w:val="0"/>
                <w:szCs w:val="21"/>
              </w:rPr>
              <w:t>合规管控</w:t>
            </w:r>
          </w:p>
        </w:tc>
        <w:tc>
          <w:tcPr>
            <w:tcW w:w="5145" w:type="dxa"/>
            <w:shd w:val="clear" w:color="000000" w:fill="FFFFFF"/>
            <w:vAlign w:val="center"/>
          </w:tcPr>
          <w:p w14:paraId="4DBB0A40">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r>
              <w:rPr>
                <w:rFonts w:hint="default" w:ascii="Times New Roman" w:hAnsi="Times New Roman" w:eastAsia="宋体" w:cs="Times New Roman"/>
                <w:color w:val="auto"/>
                <w:kern w:val="0"/>
                <w:szCs w:val="21"/>
              </w:rPr>
              <w:t>对于电流≤250A的充电桩，应提供型式试验报告；对于电流＞250A的充电桩，应提供第三方委托检测报告。</w:t>
            </w:r>
            <w:bookmarkStart w:id="5" w:name="OLE_LINK158"/>
            <w:r>
              <w:rPr>
                <w:rFonts w:hint="default" w:ascii="Times New Roman" w:hAnsi="Times New Roman" w:eastAsia="宋体" w:cs="Times New Roman"/>
                <w:color w:val="auto"/>
                <w:kern w:val="0"/>
                <w:szCs w:val="21"/>
              </w:rPr>
              <w:t>绝缘安规为每站每桩必查项，互操作、通信协议为同型号充电桩抽检。</w:t>
            </w:r>
            <w:bookmarkEnd w:id="5"/>
          </w:p>
        </w:tc>
        <w:tc>
          <w:tcPr>
            <w:tcW w:w="5498" w:type="dxa"/>
            <w:gridSpan w:val="3"/>
            <w:shd w:val="clear" w:color="000000" w:fill="FFFFFF"/>
            <w:vAlign w:val="center"/>
          </w:tcPr>
          <w:p w14:paraId="5BA7147D">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满足说明要求</w:t>
            </w:r>
          </w:p>
        </w:tc>
      </w:tr>
      <w:tr w14:paraId="425A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1168" w:type="dxa"/>
            <w:vMerge w:val="continue"/>
            <w:shd w:val="clear" w:color="000000" w:fill="FFFFFF"/>
            <w:noWrap/>
            <w:vAlign w:val="center"/>
          </w:tcPr>
          <w:p w14:paraId="6AF281B4">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p>
        </w:tc>
        <w:tc>
          <w:tcPr>
            <w:tcW w:w="1856" w:type="dxa"/>
            <w:shd w:val="clear" w:color="000000" w:fill="FFFFFF"/>
            <w:noWrap/>
            <w:vAlign w:val="center"/>
          </w:tcPr>
          <w:p w14:paraId="5401FB3F">
            <w:pPr>
              <w:keepLines w:val="0"/>
              <w:pageBreakBefore w:val="0"/>
              <w:widowControl/>
              <w:kinsoku/>
              <w:wordWrap/>
              <w:overflowPunct/>
              <w:topLinePunct w:val="0"/>
              <w:bidi w:val="0"/>
              <w:adjustRightInd/>
              <w:snapToGrid/>
              <w:ind w:firstLine="420" w:firstLineChars="20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安全性</w:t>
            </w:r>
          </w:p>
        </w:tc>
        <w:tc>
          <w:tcPr>
            <w:tcW w:w="5145" w:type="dxa"/>
            <w:shd w:val="clear" w:color="000000" w:fill="FFFFFF"/>
            <w:vAlign w:val="center"/>
          </w:tcPr>
          <w:p w14:paraId="3F5C97A6">
            <w:pPr>
              <w:keepLines w:val="0"/>
              <w:pageBreakBefore w:val="0"/>
              <w:widowControl/>
              <w:kinsoku/>
              <w:wordWrap/>
              <w:overflowPunct/>
              <w:topLinePunct w:val="0"/>
              <w:bidi w:val="0"/>
              <w:adjustRightInd/>
              <w:snapToGrid/>
              <w:ind w:firstLine="0" w:firstLineChars="0"/>
              <w:jc w:val="left"/>
              <w:rPr>
                <w:rFonts w:hint="eastAsia" w:ascii="Times New Roman" w:hAnsi="Times New Roman" w:eastAsia="宋体" w:cs="Times New Roman"/>
                <w:color w:val="auto"/>
                <w:kern w:val="0"/>
                <w:szCs w:val="21"/>
                <w:lang w:val="en-US" w:eastAsia="zh-CN"/>
              </w:rPr>
            </w:pPr>
            <w:r>
              <w:rPr>
                <w:rFonts w:hint="eastAsia" w:ascii="Times New Roman" w:hAnsi="Times New Roman" w:eastAsia="宋体" w:cs="Times New Roman"/>
                <w:color w:val="auto"/>
                <w:kern w:val="0"/>
                <w:szCs w:val="21"/>
                <w:lang w:val="en-US" w:eastAsia="zh-CN"/>
              </w:rPr>
              <w:t>申报项目在项目建设和运行过程中没有发生一般及以上安全责任事故；</w:t>
            </w:r>
          </w:p>
          <w:p w14:paraId="2B45BDC3">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项目没有发生事故或其他影响较大社会治安事件</w:t>
            </w:r>
            <w:r>
              <w:rPr>
                <w:rFonts w:hint="eastAsia" w:ascii="Times New Roman" w:hAnsi="Times New Roman" w:eastAsia="宋体" w:cs="Times New Roman"/>
                <w:color w:val="auto"/>
                <w:kern w:val="0"/>
                <w:szCs w:val="21"/>
                <w:lang w:val="en-US" w:eastAsia="zh-CN"/>
              </w:rPr>
              <w:t>；</w:t>
            </w:r>
          </w:p>
          <w:p w14:paraId="4AC401F6">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没有发生造成较大社会负面影响的其他事件的</w:t>
            </w:r>
            <w:r>
              <w:rPr>
                <w:rFonts w:hint="eastAsia" w:ascii="Times New Roman" w:hAnsi="Times New Roman" w:eastAsia="宋体" w:cs="Times New Roman"/>
                <w:color w:val="auto"/>
                <w:kern w:val="0"/>
                <w:szCs w:val="21"/>
                <w:lang w:val="en-US" w:eastAsia="zh-CN"/>
              </w:rPr>
              <w:t>；</w:t>
            </w:r>
          </w:p>
          <w:p w14:paraId="746BAEAB">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充电过程中充电桩及其他辅助系统保持可靠的状态，存在</w:t>
            </w:r>
            <w:r>
              <w:rPr>
                <w:rFonts w:hint="default" w:ascii="Times New Roman" w:hAnsi="Times New Roman" w:eastAsia="宋体" w:cs="Times New Roman"/>
                <w:color w:val="auto"/>
                <w:kern w:val="0"/>
                <w:szCs w:val="21"/>
                <w:lang w:val="en-US" w:eastAsia="zh-CN"/>
              </w:rPr>
              <w:t>问题</w:t>
            </w:r>
            <w:r>
              <w:rPr>
                <w:rFonts w:hint="default" w:ascii="Times New Roman" w:hAnsi="Times New Roman" w:eastAsia="宋体" w:cs="Times New Roman"/>
                <w:color w:val="auto"/>
                <w:kern w:val="0"/>
                <w:szCs w:val="21"/>
              </w:rPr>
              <w:t>的充电桩应悬挂“故障，待维修”标牌，断电停机，并告知公众暂停开放。</w:t>
            </w:r>
          </w:p>
        </w:tc>
        <w:tc>
          <w:tcPr>
            <w:tcW w:w="5498" w:type="dxa"/>
            <w:gridSpan w:val="3"/>
            <w:shd w:val="clear" w:color="000000" w:fill="FFFFFF"/>
            <w:vAlign w:val="center"/>
          </w:tcPr>
          <w:p w14:paraId="06C9D753">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满足说明要求</w:t>
            </w:r>
          </w:p>
        </w:tc>
      </w:tr>
      <w:tr w14:paraId="39133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68" w:type="dxa"/>
            <w:vMerge w:val="restart"/>
            <w:shd w:val="clear" w:color="000000" w:fill="FFFFFF"/>
            <w:noWrap/>
            <w:vAlign w:val="center"/>
          </w:tcPr>
          <w:p w14:paraId="18019CE8">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eastAsia="宋体" w:cs="Times New Roman"/>
                <w:color w:val="auto"/>
                <w:kern w:val="0"/>
                <w:szCs w:val="21"/>
              </w:rPr>
              <w:t>环境合规</w:t>
            </w:r>
          </w:p>
        </w:tc>
        <w:tc>
          <w:tcPr>
            <w:tcW w:w="1856" w:type="dxa"/>
            <w:shd w:val="clear" w:color="000000" w:fill="FFFFFF"/>
            <w:noWrap/>
            <w:vAlign w:val="center"/>
          </w:tcPr>
          <w:p w14:paraId="64F00CF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监控设施</w:t>
            </w:r>
          </w:p>
        </w:tc>
        <w:tc>
          <w:tcPr>
            <w:tcW w:w="5145" w:type="dxa"/>
            <w:shd w:val="clear" w:color="000000" w:fill="FFFFFF"/>
            <w:vAlign w:val="center"/>
          </w:tcPr>
          <w:p w14:paraId="56F1F781">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监控摄像头能有效覆盖所有充电车位，运营单位人员能实时监控现场状况。</w:t>
            </w:r>
          </w:p>
        </w:tc>
        <w:tc>
          <w:tcPr>
            <w:tcW w:w="5498" w:type="dxa"/>
            <w:gridSpan w:val="3"/>
            <w:shd w:val="clear" w:color="000000" w:fill="FFFFFF"/>
            <w:vAlign w:val="center"/>
          </w:tcPr>
          <w:p w14:paraId="019456A9">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lang w:val="en-US" w:eastAsia="zh-CN"/>
              </w:rPr>
            </w:pPr>
            <w:bookmarkStart w:id="6" w:name="OLE_LINK4"/>
            <w:r>
              <w:rPr>
                <w:rFonts w:hint="default" w:ascii="Times New Roman" w:hAnsi="Times New Roman" w:cs="Times New Roman"/>
                <w:color w:val="auto"/>
                <w:szCs w:val="21"/>
                <w:lang w:val="en-US" w:eastAsia="zh-CN"/>
              </w:rPr>
              <w:t>满足说明要求</w:t>
            </w:r>
            <w:bookmarkEnd w:id="6"/>
          </w:p>
        </w:tc>
      </w:tr>
      <w:tr w14:paraId="3AEE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168" w:type="dxa"/>
            <w:vMerge w:val="continue"/>
            <w:shd w:val="clear" w:color="000000" w:fill="FFFFFF"/>
            <w:noWrap/>
            <w:vAlign w:val="center"/>
          </w:tcPr>
          <w:p w14:paraId="35C3B7D6">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p>
        </w:tc>
        <w:tc>
          <w:tcPr>
            <w:tcW w:w="1856" w:type="dxa"/>
            <w:shd w:val="clear" w:color="000000" w:fill="FFFFFF"/>
            <w:noWrap/>
            <w:vAlign w:val="center"/>
          </w:tcPr>
          <w:p w14:paraId="31CAA21F">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照明设施</w:t>
            </w:r>
          </w:p>
        </w:tc>
        <w:tc>
          <w:tcPr>
            <w:tcW w:w="5145" w:type="dxa"/>
            <w:shd w:val="clear" w:color="000000" w:fill="FFFFFF"/>
            <w:vAlign w:val="center"/>
          </w:tcPr>
          <w:p w14:paraId="6B8202E2">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具备照明设施，照明条件良好。</w:t>
            </w:r>
          </w:p>
        </w:tc>
        <w:tc>
          <w:tcPr>
            <w:tcW w:w="5498" w:type="dxa"/>
            <w:gridSpan w:val="3"/>
            <w:shd w:val="clear" w:color="000000" w:fill="FFFFFF"/>
            <w:vAlign w:val="center"/>
          </w:tcPr>
          <w:p w14:paraId="42A1429E">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满足说明要求</w:t>
            </w:r>
          </w:p>
        </w:tc>
      </w:tr>
      <w:tr w14:paraId="507B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168" w:type="dxa"/>
            <w:vMerge w:val="continue"/>
            <w:shd w:val="clear" w:color="000000" w:fill="FFFFFF"/>
            <w:noWrap/>
            <w:vAlign w:val="center"/>
          </w:tcPr>
          <w:p w14:paraId="34B433DF">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p>
        </w:tc>
        <w:tc>
          <w:tcPr>
            <w:tcW w:w="1856" w:type="dxa"/>
            <w:shd w:val="clear" w:color="000000" w:fill="FFFFFF"/>
            <w:noWrap/>
            <w:vAlign w:val="center"/>
          </w:tcPr>
          <w:p w14:paraId="7B301B0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通信网络</w:t>
            </w:r>
          </w:p>
        </w:tc>
        <w:tc>
          <w:tcPr>
            <w:tcW w:w="5145" w:type="dxa"/>
            <w:shd w:val="clear" w:color="000000" w:fill="FFFFFF"/>
            <w:vAlign w:val="center"/>
          </w:tcPr>
          <w:p w14:paraId="6D0B70C0">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通信网络信号良好（包括电信、移动、联通、自建热点等），能支持手机APP或小程序正常操作。</w:t>
            </w:r>
          </w:p>
        </w:tc>
        <w:tc>
          <w:tcPr>
            <w:tcW w:w="5498" w:type="dxa"/>
            <w:gridSpan w:val="3"/>
            <w:shd w:val="clear" w:color="000000" w:fill="FFFFFF"/>
            <w:vAlign w:val="center"/>
          </w:tcPr>
          <w:p w14:paraId="595BCEEB">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满足说明要求</w:t>
            </w:r>
          </w:p>
        </w:tc>
      </w:tr>
      <w:tr w14:paraId="5518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68" w:type="dxa"/>
            <w:vMerge w:val="continue"/>
            <w:shd w:val="clear" w:color="000000" w:fill="FFFFFF"/>
            <w:noWrap/>
            <w:vAlign w:val="center"/>
          </w:tcPr>
          <w:p w14:paraId="0AFCD07E">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p>
        </w:tc>
        <w:tc>
          <w:tcPr>
            <w:tcW w:w="1856" w:type="dxa"/>
            <w:shd w:val="clear" w:color="000000" w:fill="FFFFFF"/>
            <w:noWrap/>
            <w:vAlign w:val="center"/>
          </w:tcPr>
          <w:p w14:paraId="267F4DFF">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lang w:val="en-US" w:eastAsia="zh-CN"/>
              </w:rPr>
            </w:pPr>
            <w:bookmarkStart w:id="7" w:name="OLE_LINK93"/>
            <w:r>
              <w:rPr>
                <w:rFonts w:hint="default" w:ascii="Times New Roman" w:hAnsi="Times New Roman" w:eastAsia="宋体" w:cs="Times New Roman"/>
                <w:color w:val="auto"/>
                <w:kern w:val="0"/>
                <w:szCs w:val="21"/>
              </w:rPr>
              <w:t>消防</w:t>
            </w:r>
            <w:r>
              <w:rPr>
                <w:rFonts w:hint="default" w:ascii="Times New Roman" w:hAnsi="Times New Roman" w:eastAsia="宋体" w:cs="Times New Roman"/>
                <w:color w:val="auto"/>
                <w:kern w:val="0"/>
                <w:szCs w:val="21"/>
                <w:lang w:val="en-US" w:eastAsia="zh-CN"/>
              </w:rPr>
              <w:t>设施</w:t>
            </w:r>
            <w:bookmarkEnd w:id="7"/>
          </w:p>
        </w:tc>
        <w:tc>
          <w:tcPr>
            <w:tcW w:w="5145" w:type="dxa"/>
            <w:shd w:val="clear" w:color="000000" w:fill="FFFFFF"/>
            <w:vAlign w:val="center"/>
          </w:tcPr>
          <w:p w14:paraId="35F39B0D">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充</w:t>
            </w:r>
            <w:bookmarkStart w:id="8" w:name="OLE_LINK157"/>
            <w:r>
              <w:rPr>
                <w:rFonts w:hint="default" w:ascii="Times New Roman" w:hAnsi="Times New Roman" w:cs="Times New Roman"/>
                <w:color w:val="auto"/>
                <w:szCs w:val="21"/>
              </w:rPr>
              <w:t>电场站</w:t>
            </w:r>
            <w:bookmarkEnd w:id="8"/>
            <w:r>
              <w:rPr>
                <w:rFonts w:hint="default" w:ascii="Times New Roman" w:hAnsi="Times New Roman" w:cs="Times New Roman"/>
                <w:color w:val="auto"/>
                <w:szCs w:val="21"/>
                <w:lang w:val="en-US" w:eastAsia="zh-CN"/>
              </w:rPr>
              <w:t>应符合GB/T 50966 消防相关要求</w:t>
            </w:r>
            <w:r>
              <w:rPr>
                <w:rFonts w:hint="default" w:ascii="Times New Roman" w:hAnsi="Times New Roman" w:cs="Times New Roman"/>
                <w:color w:val="auto"/>
                <w:szCs w:val="21"/>
              </w:rPr>
              <w:t>。</w:t>
            </w:r>
          </w:p>
        </w:tc>
        <w:tc>
          <w:tcPr>
            <w:tcW w:w="5498" w:type="dxa"/>
            <w:gridSpan w:val="3"/>
            <w:shd w:val="clear" w:color="000000" w:fill="FFFFFF"/>
            <w:vAlign w:val="center"/>
          </w:tcPr>
          <w:p w14:paraId="39C33A0E">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lang w:val="en-US" w:eastAsia="zh-CN"/>
              </w:rPr>
            </w:pPr>
            <w:bookmarkStart w:id="9" w:name="OLE_LINK78"/>
            <w:r>
              <w:rPr>
                <w:rFonts w:hint="default" w:ascii="Times New Roman" w:hAnsi="Times New Roman" w:cs="Times New Roman"/>
                <w:color w:val="auto"/>
                <w:szCs w:val="21"/>
                <w:lang w:val="en-US" w:eastAsia="zh-CN"/>
              </w:rPr>
              <w:t>满足说明要求</w:t>
            </w:r>
            <w:bookmarkEnd w:id="9"/>
          </w:p>
        </w:tc>
      </w:tr>
      <w:tr w14:paraId="4AE09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1168" w:type="dxa"/>
            <w:shd w:val="clear" w:color="000000" w:fill="FFFFFF"/>
            <w:noWrap/>
            <w:vAlign w:val="center"/>
          </w:tcPr>
          <w:p w14:paraId="3EDAC2FC">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bookmarkStart w:id="10" w:name="OLE_LINK95"/>
            <w:r>
              <w:rPr>
                <w:rFonts w:hint="default" w:ascii="Times New Roman" w:hAnsi="Times New Roman" w:eastAsia="宋体" w:cs="Times New Roman"/>
                <w:color w:val="auto"/>
                <w:kern w:val="0"/>
                <w:szCs w:val="21"/>
              </w:rPr>
              <w:t>制度合规</w:t>
            </w:r>
            <w:bookmarkEnd w:id="10"/>
          </w:p>
        </w:tc>
        <w:tc>
          <w:tcPr>
            <w:tcW w:w="1856" w:type="dxa"/>
            <w:shd w:val="clear" w:color="000000" w:fill="FFFFFF"/>
            <w:noWrap/>
            <w:vAlign w:val="center"/>
          </w:tcPr>
          <w:p w14:paraId="7652C184">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台账管理制度</w:t>
            </w:r>
          </w:p>
        </w:tc>
        <w:tc>
          <w:tcPr>
            <w:tcW w:w="5145" w:type="dxa"/>
            <w:shd w:val="clear" w:color="000000" w:fill="FFFFFF"/>
            <w:vAlign w:val="center"/>
          </w:tcPr>
          <w:p w14:paraId="4314084D">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r>
              <w:rPr>
                <w:rFonts w:hint="default" w:ascii="Times New Roman" w:hAnsi="Times New Roman" w:cs="Times New Roman"/>
                <w:color w:val="auto"/>
                <w:szCs w:val="21"/>
              </w:rPr>
              <w:t>应建立并实施台账管理制度，内容包括但不限于：</w:t>
            </w:r>
          </w:p>
          <w:p w14:paraId="4BEFAAD7">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a）保存充电设施的技术资料，资料包括但不限于：充电设施图纸、充电设施技术和使用说明书、充电设备检测报告、充电设施工程竣工（交接）验收报告、故障和缺陷记录。</w:t>
            </w:r>
          </w:p>
          <w:p w14:paraId="6EA0DC4D">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b）建立充电设备和辅助设备台账。</w:t>
            </w:r>
          </w:p>
        </w:tc>
        <w:tc>
          <w:tcPr>
            <w:tcW w:w="5498" w:type="dxa"/>
            <w:gridSpan w:val="3"/>
            <w:shd w:val="clear" w:color="000000" w:fill="FFFFFF"/>
            <w:vAlign w:val="center"/>
          </w:tcPr>
          <w:p w14:paraId="5473F60A">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满足说明要求</w:t>
            </w:r>
          </w:p>
        </w:tc>
      </w:tr>
      <w:tr w14:paraId="7ECE4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5" w:hRule="atLeast"/>
        </w:trPr>
        <w:tc>
          <w:tcPr>
            <w:tcW w:w="1168" w:type="dxa"/>
            <w:vMerge w:val="restart"/>
            <w:shd w:val="clear" w:color="000000" w:fill="FFFFFF"/>
            <w:noWrap/>
            <w:vAlign w:val="center"/>
          </w:tcPr>
          <w:p w14:paraId="2B33D0FA">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eastAsia="宋体" w:cs="Times New Roman"/>
                <w:color w:val="auto"/>
                <w:kern w:val="0"/>
                <w:szCs w:val="21"/>
              </w:rPr>
              <w:t>制度合规</w:t>
            </w:r>
          </w:p>
        </w:tc>
        <w:tc>
          <w:tcPr>
            <w:tcW w:w="1856" w:type="dxa"/>
            <w:shd w:val="clear" w:color="000000" w:fill="FFFFFF"/>
            <w:noWrap/>
            <w:vAlign w:val="center"/>
          </w:tcPr>
          <w:p w14:paraId="173132A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应急管理制度</w:t>
            </w:r>
          </w:p>
        </w:tc>
        <w:tc>
          <w:tcPr>
            <w:tcW w:w="5145" w:type="dxa"/>
            <w:shd w:val="clear" w:color="000000" w:fill="FFFFFF"/>
            <w:vAlign w:val="center"/>
          </w:tcPr>
          <w:p w14:paraId="130B25F1">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r>
              <w:rPr>
                <w:rFonts w:hint="default" w:ascii="Times New Roman" w:hAnsi="Times New Roman" w:cs="Times New Roman"/>
                <w:color w:val="auto"/>
                <w:szCs w:val="21"/>
              </w:rPr>
              <w:t>应建立并实施应急管理制度，内容包括但不限于：</w:t>
            </w:r>
          </w:p>
          <w:p w14:paraId="6394A4FB">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a）制定突发事件（如火灾、人员触电、车辆故障、车辆电池破损燃烧爆炸、供电系统故障、设备故障等）应急预案，设置应急组织。</w:t>
            </w:r>
          </w:p>
          <w:p w14:paraId="2ED9DB34">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b）应急物资和设备应在充电场站指定位置存放，专人负责，并定期检查应急物资的完整性和应急设备的有效性。</w:t>
            </w:r>
          </w:p>
          <w:p w14:paraId="03EFF4EB">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c）应每年至少进行1次充电场站现场应急处置方案演练且有记录。</w:t>
            </w:r>
          </w:p>
        </w:tc>
        <w:tc>
          <w:tcPr>
            <w:tcW w:w="5498" w:type="dxa"/>
            <w:gridSpan w:val="3"/>
            <w:shd w:val="clear" w:color="000000" w:fill="FFFFFF"/>
            <w:vAlign w:val="center"/>
          </w:tcPr>
          <w:p w14:paraId="28AF209F">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满足说明要求</w:t>
            </w:r>
          </w:p>
        </w:tc>
      </w:tr>
      <w:tr w14:paraId="7279F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9" w:hRule="atLeast"/>
        </w:trPr>
        <w:tc>
          <w:tcPr>
            <w:tcW w:w="1168" w:type="dxa"/>
            <w:vMerge w:val="continue"/>
            <w:shd w:val="clear" w:color="000000" w:fill="FFFFFF"/>
            <w:noWrap/>
            <w:vAlign w:val="center"/>
          </w:tcPr>
          <w:p w14:paraId="504D06E8">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p>
        </w:tc>
        <w:tc>
          <w:tcPr>
            <w:tcW w:w="1856" w:type="dxa"/>
            <w:shd w:val="clear" w:color="000000" w:fill="FFFFFF"/>
            <w:noWrap/>
            <w:vAlign w:val="center"/>
          </w:tcPr>
          <w:p w14:paraId="5E342D93">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设施设备维护保养制度</w:t>
            </w:r>
          </w:p>
        </w:tc>
        <w:tc>
          <w:tcPr>
            <w:tcW w:w="5145" w:type="dxa"/>
            <w:shd w:val="clear" w:color="000000" w:fill="FFFFFF"/>
            <w:vAlign w:val="center"/>
          </w:tcPr>
          <w:p w14:paraId="428B1C03">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r>
              <w:rPr>
                <w:rFonts w:hint="default" w:ascii="Times New Roman" w:hAnsi="Times New Roman" w:cs="Times New Roman"/>
                <w:color w:val="auto"/>
                <w:szCs w:val="21"/>
              </w:rPr>
              <w:t>应建立并实施设施设备维护保养制度，内容包括但不限于：</w:t>
            </w:r>
          </w:p>
          <w:p w14:paraId="6E2BD886">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a）定期开展维护保养工作，维护保养工作应不少于每年2次。</w:t>
            </w:r>
          </w:p>
          <w:p w14:paraId="7CC24C6B">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b）维护保养内容应包括但不限于：高低压巡检保养、充电桩内部除尘、元器件检查、钥匙管理、功能性测试。</w:t>
            </w:r>
          </w:p>
          <w:p w14:paraId="4328AE9E">
            <w:pPr>
              <w:keepNext w:val="0"/>
              <w:keepLines w:val="0"/>
              <w:pageBreakBefore w:val="0"/>
              <w:widowControl/>
              <w:kinsoku/>
              <w:wordWrap/>
              <w:overflowPunct/>
              <w:topLinePunct w:val="0"/>
              <w:autoSpaceDE/>
              <w:autoSpaceDN/>
              <w:bidi w:val="0"/>
              <w:adjustRightInd/>
              <w:snapToGrid/>
              <w:ind w:firstLine="420" w:firstLineChars="200"/>
              <w:jc w:val="left"/>
              <w:textAlignment w:val="auto"/>
              <w:rPr>
                <w:rFonts w:hint="default" w:ascii="Times New Roman" w:hAnsi="Times New Roman" w:cs="Times New Roman"/>
                <w:color w:val="auto"/>
                <w:szCs w:val="21"/>
              </w:rPr>
            </w:pPr>
            <w:r>
              <w:rPr>
                <w:rFonts w:hint="default" w:ascii="Times New Roman" w:hAnsi="Times New Roman" w:cs="Times New Roman"/>
                <w:color w:val="auto"/>
                <w:szCs w:val="21"/>
              </w:rPr>
              <w:t>c）有相应的设施设备维护保养内容和记录。</w:t>
            </w:r>
          </w:p>
        </w:tc>
        <w:tc>
          <w:tcPr>
            <w:tcW w:w="5498" w:type="dxa"/>
            <w:gridSpan w:val="3"/>
            <w:shd w:val="clear" w:color="000000" w:fill="FFFFFF"/>
            <w:vAlign w:val="center"/>
          </w:tcPr>
          <w:p w14:paraId="02DA3777">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满足说明要求</w:t>
            </w:r>
          </w:p>
        </w:tc>
      </w:tr>
      <w:tr w14:paraId="11E4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168" w:type="dxa"/>
            <w:vMerge w:val="restart"/>
            <w:shd w:val="clear" w:color="000000" w:fill="FFFFFF"/>
            <w:noWrap/>
            <w:vAlign w:val="center"/>
          </w:tcPr>
          <w:p w14:paraId="71563D33">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bookmarkStart w:id="11" w:name="OLE_LINK96"/>
            <w:bookmarkStart w:id="12" w:name="OLE_LINK160" w:colFirst="0" w:colLast="0"/>
            <w:bookmarkStart w:id="13" w:name="OLE_LINK159" w:colFirst="1" w:colLast="1"/>
            <w:r>
              <w:rPr>
                <w:rFonts w:hint="default" w:ascii="Times New Roman" w:hAnsi="Times New Roman" w:cs="Times New Roman"/>
                <w:color w:val="auto"/>
                <w:szCs w:val="21"/>
                <w:lang w:val="en-US" w:eastAsia="zh-CN"/>
              </w:rPr>
              <w:t>结算合规</w:t>
            </w:r>
            <w:bookmarkEnd w:id="11"/>
          </w:p>
        </w:tc>
        <w:tc>
          <w:tcPr>
            <w:tcW w:w="1856" w:type="dxa"/>
            <w:shd w:val="clear" w:color="000000" w:fill="FFFFFF"/>
            <w:noWrap/>
            <w:vAlign w:val="center"/>
          </w:tcPr>
          <w:p w14:paraId="4B31672F">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val="en-US" w:eastAsia="zh-CN"/>
              </w:rPr>
              <w:t>发票获取</w:t>
            </w:r>
          </w:p>
        </w:tc>
        <w:tc>
          <w:tcPr>
            <w:tcW w:w="5145" w:type="dxa"/>
            <w:shd w:val="clear" w:color="000000" w:fill="FFFFFF"/>
            <w:vAlign w:val="center"/>
          </w:tcPr>
          <w:p w14:paraId="4A9C63AF">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r>
              <w:rPr>
                <w:rFonts w:hint="default" w:ascii="Times New Roman" w:hAnsi="Times New Roman" w:eastAsia="宋体" w:cs="Times New Roman"/>
                <w:color w:val="auto"/>
                <w:kern w:val="0"/>
                <w:sz w:val="21"/>
                <w:szCs w:val="21"/>
                <w:lang w:val="en-US" w:eastAsia="zh-CN"/>
              </w:rPr>
              <w:t>应</w:t>
            </w:r>
            <w:r>
              <w:rPr>
                <w:rFonts w:hint="default" w:ascii="Times New Roman" w:hAnsi="Times New Roman" w:eastAsia="宋体" w:cs="Times New Roman"/>
                <w:color w:val="auto"/>
                <w:kern w:val="0"/>
                <w:sz w:val="21"/>
                <w:szCs w:val="21"/>
              </w:rPr>
              <w:t>提供电子发票或纸质发票。</w:t>
            </w:r>
          </w:p>
        </w:tc>
        <w:tc>
          <w:tcPr>
            <w:tcW w:w="5498" w:type="dxa"/>
            <w:gridSpan w:val="3"/>
            <w:shd w:val="clear" w:color="000000" w:fill="FFFFFF"/>
            <w:vAlign w:val="center"/>
          </w:tcPr>
          <w:p w14:paraId="584F027D">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满足说明要求</w:t>
            </w:r>
          </w:p>
        </w:tc>
      </w:tr>
      <w:tr w14:paraId="7807B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168" w:type="dxa"/>
            <w:vMerge w:val="continue"/>
            <w:shd w:val="clear" w:color="000000" w:fill="FFFFFF"/>
            <w:noWrap/>
            <w:vAlign w:val="center"/>
          </w:tcPr>
          <w:p w14:paraId="433B2EB6">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p>
        </w:tc>
        <w:tc>
          <w:tcPr>
            <w:tcW w:w="1856" w:type="dxa"/>
            <w:shd w:val="clear" w:color="000000" w:fill="FFFFFF"/>
            <w:noWrap/>
            <w:vAlign w:val="center"/>
          </w:tcPr>
          <w:p w14:paraId="77A0148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val="en-US" w:eastAsia="zh-CN"/>
              </w:rPr>
              <w:t>退费服务</w:t>
            </w:r>
          </w:p>
        </w:tc>
        <w:tc>
          <w:tcPr>
            <w:tcW w:w="5145" w:type="dxa"/>
            <w:shd w:val="clear" w:color="000000" w:fill="FFFFFF"/>
            <w:vAlign w:val="center"/>
          </w:tcPr>
          <w:p w14:paraId="06824F1C">
            <w:pPr>
              <w:keepLines w:val="0"/>
              <w:pageBreakBefore w:val="0"/>
              <w:widowControl/>
              <w:kinsoku/>
              <w:wordWrap/>
              <w:overflowPunct/>
              <w:topLinePunct w:val="0"/>
              <w:bidi w:val="0"/>
              <w:adjustRightInd/>
              <w:snapToGrid/>
              <w:ind w:firstLine="0" w:firstLineChars="0"/>
              <w:jc w:val="left"/>
              <w:rPr>
                <w:rFonts w:hint="default" w:ascii="Times New Roman" w:hAnsi="Times New Roman" w:cs="Times New Roman"/>
                <w:color w:val="auto"/>
                <w:szCs w:val="21"/>
              </w:rPr>
            </w:pPr>
            <w:r>
              <w:rPr>
                <w:rFonts w:hint="default" w:ascii="Times New Roman" w:hAnsi="Times New Roman" w:eastAsia="宋体" w:cs="Times New Roman"/>
                <w:color w:val="auto"/>
                <w:kern w:val="0"/>
                <w:sz w:val="21"/>
                <w:szCs w:val="21"/>
              </w:rPr>
              <w:t>应支持用户退费。</w:t>
            </w:r>
          </w:p>
        </w:tc>
        <w:tc>
          <w:tcPr>
            <w:tcW w:w="5498" w:type="dxa"/>
            <w:gridSpan w:val="3"/>
            <w:shd w:val="clear" w:color="000000" w:fill="FFFFFF"/>
            <w:vAlign w:val="center"/>
          </w:tcPr>
          <w:p w14:paraId="4E2B0989">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满足说明要求</w:t>
            </w:r>
          </w:p>
        </w:tc>
      </w:tr>
      <w:tr w14:paraId="68EEB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168" w:type="dxa"/>
            <w:vMerge w:val="restart"/>
            <w:shd w:val="clear" w:color="000000" w:fill="FFFFFF"/>
            <w:noWrap/>
            <w:vAlign w:val="center"/>
          </w:tcPr>
          <w:p w14:paraId="21751406">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bookmarkStart w:id="14" w:name="OLE_LINK97"/>
            <w:r>
              <w:rPr>
                <w:rFonts w:hint="default" w:ascii="Times New Roman" w:hAnsi="Times New Roman" w:cs="Times New Roman"/>
                <w:color w:val="auto"/>
                <w:szCs w:val="21"/>
              </w:rPr>
              <w:t>运营管理</w:t>
            </w:r>
          </w:p>
        </w:tc>
        <w:tc>
          <w:tcPr>
            <w:tcW w:w="1856" w:type="dxa"/>
            <w:shd w:val="clear" w:color="000000" w:fill="FFFFFF"/>
            <w:noWrap/>
            <w:vAlign w:val="center"/>
          </w:tcPr>
          <w:p w14:paraId="10D07257">
            <w:pPr>
              <w:keepLines w:val="0"/>
              <w:pageBreakBefore w:val="0"/>
              <w:widowControl/>
              <w:kinsoku/>
              <w:wordWrap/>
              <w:overflowPunct/>
              <w:topLinePunct w:val="0"/>
              <w:bidi w:val="0"/>
              <w:adjustRightInd/>
              <w:snapToGrid/>
              <w:ind w:firstLine="0" w:firstLineChars="0"/>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运行时长</w:t>
            </w:r>
          </w:p>
        </w:tc>
        <w:tc>
          <w:tcPr>
            <w:tcW w:w="5145" w:type="dxa"/>
            <w:shd w:val="clear" w:color="000000" w:fill="FFFFFF"/>
            <w:vAlign w:val="center"/>
          </w:tcPr>
          <w:p w14:paraId="3BBCFA30">
            <w:pPr>
              <w:keepLines w:val="0"/>
              <w:pageBreakBefore w:val="0"/>
              <w:widowControl/>
              <w:kinsoku/>
              <w:wordWrap/>
              <w:overflowPunct/>
              <w:topLinePunct w:val="0"/>
              <w:bidi w:val="0"/>
              <w:adjustRightInd/>
              <w:snapToGrid/>
              <w:ind w:firstLine="0" w:firstLineChars="0"/>
              <w:rPr>
                <w:rFonts w:hint="eastAsia" w:ascii="Times New Roman" w:hAnsi="Times New Roman" w:cs="Times New Roman"/>
                <w:color w:val="auto"/>
                <w:szCs w:val="21"/>
                <w:lang w:eastAsia="zh-CN"/>
              </w:rPr>
            </w:pPr>
            <w:r>
              <w:rPr>
                <w:rFonts w:hint="default" w:ascii="Times New Roman" w:hAnsi="Times New Roman" w:cs="Times New Roman"/>
                <w:color w:val="auto"/>
                <w:szCs w:val="21"/>
              </w:rPr>
              <w:t>稳定运行6个月及以上</w:t>
            </w:r>
            <w:r>
              <w:rPr>
                <w:rFonts w:hint="eastAsia" w:ascii="Times New Roman" w:hAnsi="Times New Roman" w:cs="Times New Roman"/>
                <w:color w:val="auto"/>
                <w:szCs w:val="21"/>
                <w:lang w:eastAsia="zh-CN"/>
              </w:rPr>
              <w:t>。</w:t>
            </w:r>
          </w:p>
        </w:tc>
        <w:tc>
          <w:tcPr>
            <w:tcW w:w="5498" w:type="dxa"/>
            <w:gridSpan w:val="3"/>
            <w:shd w:val="clear" w:color="000000" w:fill="FFFFFF"/>
            <w:vAlign w:val="center"/>
          </w:tcPr>
          <w:p w14:paraId="75E8FD07">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满足说明要求</w:t>
            </w:r>
          </w:p>
        </w:tc>
      </w:tr>
      <w:bookmarkEnd w:id="14"/>
      <w:tr w14:paraId="5826B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168" w:type="dxa"/>
            <w:vMerge w:val="continue"/>
            <w:shd w:val="clear" w:color="000000" w:fill="FFFFFF"/>
            <w:noWrap/>
            <w:vAlign w:val="center"/>
          </w:tcPr>
          <w:p w14:paraId="015148BC">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p>
        </w:tc>
        <w:tc>
          <w:tcPr>
            <w:tcW w:w="1856" w:type="dxa"/>
            <w:shd w:val="clear" w:color="000000" w:fill="FFFFFF"/>
            <w:noWrap/>
            <w:vAlign w:val="center"/>
          </w:tcPr>
          <w:p w14:paraId="704D648C">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充电桩状态显示</w:t>
            </w:r>
          </w:p>
        </w:tc>
        <w:tc>
          <w:tcPr>
            <w:tcW w:w="5145" w:type="dxa"/>
            <w:shd w:val="clear" w:color="000000" w:fill="FFFFFF"/>
            <w:vAlign w:val="center"/>
          </w:tcPr>
          <w:p w14:paraId="17E67E02">
            <w:pPr>
              <w:keepLines w:val="0"/>
              <w:pageBreakBefore w:val="0"/>
              <w:kinsoku/>
              <w:wordWrap/>
              <w:overflowPunct/>
              <w:topLinePunct w:val="0"/>
              <w:bidi w:val="0"/>
              <w:adjustRightInd/>
              <w:snapToGrid/>
              <w:spacing w:line="259" w:lineRule="auto"/>
              <w:ind w:firstLine="0" w:firstLineChars="0"/>
              <w:rPr>
                <w:rFonts w:hint="default" w:ascii="Times New Roman" w:hAnsi="Times New Roman" w:cs="Times New Roman"/>
                <w:color w:val="auto"/>
                <w:szCs w:val="21"/>
              </w:rPr>
            </w:pPr>
            <w:r>
              <w:rPr>
                <w:rFonts w:hint="default" w:ascii="Times New Roman" w:hAnsi="Times New Roman" w:cs="Times New Roman"/>
                <w:color w:val="auto"/>
                <w:szCs w:val="21"/>
              </w:rPr>
              <w:t>APP/运营平台需能够实时显示充电场站内每台充电终端状态（空闲/充电中/故障等）。</w:t>
            </w:r>
          </w:p>
        </w:tc>
        <w:tc>
          <w:tcPr>
            <w:tcW w:w="1833" w:type="dxa"/>
            <w:shd w:val="clear" w:color="000000" w:fill="FFFFFF"/>
            <w:vAlign w:val="center"/>
          </w:tcPr>
          <w:p w14:paraId="185198AE">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eastAsiaTheme="minorEastAsia"/>
                <w:color w:val="auto"/>
                <w:szCs w:val="21"/>
                <w:lang w:val="en-US" w:eastAsia="zh-CN"/>
              </w:rPr>
            </w:pPr>
            <w:bookmarkStart w:id="15" w:name="OLE_LINK29"/>
            <w:r>
              <w:rPr>
                <w:rFonts w:hint="default" w:ascii="Times New Roman" w:hAnsi="Times New Roman" w:cs="Times New Roman"/>
                <w:color w:val="auto"/>
                <w:szCs w:val="21"/>
                <w:lang w:val="en-US" w:eastAsia="zh-CN"/>
              </w:rPr>
              <w:t>----</w:t>
            </w:r>
            <w:bookmarkEnd w:id="15"/>
          </w:p>
        </w:tc>
        <w:tc>
          <w:tcPr>
            <w:tcW w:w="1667" w:type="dxa"/>
            <w:shd w:val="clear" w:color="000000" w:fill="FFFFFF"/>
            <w:vAlign w:val="center"/>
          </w:tcPr>
          <w:p w14:paraId="426708D6">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实时显示</w:t>
            </w:r>
          </w:p>
        </w:tc>
        <w:tc>
          <w:tcPr>
            <w:tcW w:w="1998" w:type="dxa"/>
            <w:shd w:val="clear" w:color="000000" w:fill="FFFFFF"/>
            <w:vAlign w:val="center"/>
          </w:tcPr>
          <w:p w14:paraId="09DE020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实时显示</w:t>
            </w:r>
          </w:p>
        </w:tc>
      </w:tr>
      <w:tr w14:paraId="3A8D5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1168" w:type="dxa"/>
            <w:shd w:val="clear" w:color="000000" w:fill="FFFFFF"/>
            <w:noWrap/>
            <w:vAlign w:val="center"/>
          </w:tcPr>
          <w:p w14:paraId="3D6516E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故障维修</w:t>
            </w:r>
          </w:p>
        </w:tc>
        <w:tc>
          <w:tcPr>
            <w:tcW w:w="1856" w:type="dxa"/>
            <w:shd w:val="clear" w:color="000000" w:fill="FFFFFF"/>
            <w:noWrap/>
            <w:vAlign w:val="center"/>
          </w:tcPr>
          <w:p w14:paraId="460E2E5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故障率</w:t>
            </w:r>
          </w:p>
        </w:tc>
        <w:tc>
          <w:tcPr>
            <w:tcW w:w="5145" w:type="dxa"/>
            <w:shd w:val="clear" w:color="000000" w:fill="FFFFFF"/>
            <w:vAlign w:val="center"/>
          </w:tcPr>
          <w:p w14:paraId="606EBBB9">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考核周期内，各站点充电设施故障率M=（站点内设施故障总时长/站点内设施在线总时长）×100%。指充电设施不能提供服务的时间占总运营时间的比率，表征充电设备在一定时间内使用的稳定性。</w:t>
            </w:r>
          </w:p>
        </w:tc>
        <w:tc>
          <w:tcPr>
            <w:tcW w:w="1833" w:type="dxa"/>
            <w:shd w:val="clear" w:color="000000" w:fill="FFFFFF"/>
            <w:vAlign w:val="center"/>
          </w:tcPr>
          <w:p w14:paraId="77D9EA49">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w:t>
            </w:r>
          </w:p>
        </w:tc>
        <w:tc>
          <w:tcPr>
            <w:tcW w:w="1667" w:type="dxa"/>
            <w:shd w:val="clear" w:color="000000" w:fill="FFFFFF"/>
            <w:vAlign w:val="center"/>
          </w:tcPr>
          <w:p w14:paraId="0B79065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M≤2%</w:t>
            </w:r>
          </w:p>
        </w:tc>
        <w:tc>
          <w:tcPr>
            <w:tcW w:w="1998" w:type="dxa"/>
            <w:shd w:val="clear" w:color="000000" w:fill="FFFFFF"/>
            <w:vAlign w:val="center"/>
          </w:tcPr>
          <w:p w14:paraId="206EAA7C">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M≤1%</w:t>
            </w:r>
          </w:p>
        </w:tc>
      </w:tr>
      <w:tr w14:paraId="4968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1168" w:type="dxa"/>
            <w:shd w:val="clear" w:color="000000" w:fill="FFFFFF"/>
            <w:noWrap/>
            <w:vAlign w:val="center"/>
          </w:tcPr>
          <w:p w14:paraId="118501B3">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eastAsiaTheme="minorEastAsia"/>
                <w:color w:val="auto"/>
                <w:szCs w:val="21"/>
                <w:lang w:val="en-US" w:eastAsia="zh-CN"/>
              </w:rPr>
            </w:pPr>
            <w:bookmarkStart w:id="16" w:name="OLE_LINK153"/>
            <w:bookmarkStart w:id="17" w:name="OLE_LINK152" w:colFirst="4" w:colLast="5"/>
            <w:bookmarkStart w:id="18" w:name="OLE_LINK98"/>
            <w:r>
              <w:rPr>
                <w:rFonts w:hint="eastAsia" w:cs="Times New Roman"/>
                <w:color w:val="auto"/>
                <w:szCs w:val="21"/>
                <w:lang w:val="en-US" w:eastAsia="zh-CN"/>
              </w:rPr>
              <w:t>设施服务</w:t>
            </w:r>
            <w:bookmarkEnd w:id="16"/>
          </w:p>
        </w:tc>
        <w:tc>
          <w:tcPr>
            <w:tcW w:w="1856" w:type="dxa"/>
            <w:shd w:val="clear" w:color="000000" w:fill="FFFFFF"/>
            <w:noWrap/>
            <w:vAlign w:val="center"/>
          </w:tcPr>
          <w:p w14:paraId="77F54327">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eastAsia="宋体" w:cs="Times New Roman"/>
                <w:color w:val="auto"/>
                <w:kern w:val="0"/>
                <w:szCs w:val="21"/>
                <w:highlight w:val="none"/>
              </w:rPr>
              <w:t>大功率充电枪比例</w:t>
            </w:r>
          </w:p>
        </w:tc>
        <w:tc>
          <w:tcPr>
            <w:tcW w:w="5145" w:type="dxa"/>
            <w:shd w:val="clear" w:color="000000" w:fill="FFFFFF"/>
            <w:vAlign w:val="center"/>
          </w:tcPr>
          <w:p w14:paraId="7AA27923">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充电场站宜配置大功率</w:t>
            </w:r>
            <w:r>
              <w:rPr>
                <w:rFonts w:hint="default" w:ascii="Times New Roman" w:hAnsi="Times New Roman" w:eastAsia="宋体" w:cs="Times New Roman"/>
                <w:color w:val="auto"/>
                <w:kern w:val="0"/>
                <w:szCs w:val="21"/>
                <w:lang w:val="en-US" w:eastAsia="zh-CN"/>
              </w:rPr>
              <w:t>充电桩</w:t>
            </w:r>
            <w:r>
              <w:rPr>
                <w:rFonts w:hint="default" w:ascii="Times New Roman" w:hAnsi="Times New Roman" w:eastAsia="宋体" w:cs="Times New Roman"/>
                <w:color w:val="auto"/>
                <w:kern w:val="0"/>
                <w:szCs w:val="21"/>
              </w:rPr>
              <w:t>（</w:t>
            </w:r>
            <w:r>
              <w:rPr>
                <w:rFonts w:hint="default" w:ascii="Times New Roman" w:hAnsi="Times New Roman" w:eastAsia="宋体" w:cs="Times New Roman"/>
                <w:color w:val="auto"/>
                <w:kern w:val="0"/>
                <w:szCs w:val="21"/>
                <w:lang w:val="en-US" w:eastAsia="zh-CN"/>
              </w:rPr>
              <w:t>单枪额定输出</w:t>
            </w:r>
            <w:r>
              <w:rPr>
                <w:rFonts w:hint="default" w:ascii="Times New Roman" w:hAnsi="Times New Roman" w:eastAsia="宋体" w:cs="Times New Roman"/>
                <w:color w:val="auto"/>
                <w:kern w:val="0"/>
                <w:szCs w:val="21"/>
              </w:rPr>
              <w:t>功率＞250kW</w:t>
            </w:r>
            <w:r>
              <w:rPr>
                <w:rFonts w:hint="default" w:ascii="Times New Roman" w:hAnsi="Times New Roman" w:eastAsia="宋体" w:cs="Times New Roman"/>
                <w:color w:val="auto"/>
                <w:kern w:val="0"/>
                <w:szCs w:val="21"/>
                <w:lang w:eastAsia="zh-CN"/>
              </w:rPr>
              <w:t>）</w:t>
            </w:r>
            <w:r>
              <w:rPr>
                <w:rFonts w:hint="eastAsia" w:ascii="Times New Roman" w:hAnsi="Times New Roman" w:cs="Times New Roman"/>
                <w:color w:val="auto"/>
                <w:kern w:val="0"/>
                <w:szCs w:val="21"/>
                <w:lang w:val="en-US" w:eastAsia="zh-CN"/>
              </w:rPr>
              <w:t>或</w:t>
            </w:r>
            <w:r>
              <w:rPr>
                <w:rFonts w:hint="default" w:ascii="Times New Roman" w:hAnsi="Times New Roman" w:eastAsia="宋体" w:cs="Times New Roman"/>
                <w:color w:val="auto"/>
                <w:kern w:val="0"/>
                <w:szCs w:val="21"/>
              </w:rPr>
              <w:t>超充</w:t>
            </w:r>
            <w:r>
              <w:rPr>
                <w:rFonts w:hint="default" w:ascii="Times New Roman" w:hAnsi="Times New Roman" w:eastAsia="宋体" w:cs="Times New Roman"/>
                <w:color w:val="auto"/>
                <w:kern w:val="0"/>
                <w:szCs w:val="21"/>
                <w:lang w:val="en-US" w:eastAsia="zh-CN"/>
              </w:rPr>
              <w:t>桩</w:t>
            </w:r>
            <w:r>
              <w:rPr>
                <w:rFonts w:hint="default" w:ascii="Times New Roman" w:hAnsi="Times New Roman" w:eastAsia="宋体" w:cs="Times New Roman"/>
                <w:color w:val="auto"/>
                <w:kern w:val="0"/>
                <w:szCs w:val="21"/>
              </w:rPr>
              <w:t>（</w:t>
            </w:r>
            <w:r>
              <w:rPr>
                <w:rFonts w:hint="default" w:ascii="Times New Roman" w:hAnsi="Times New Roman" w:eastAsia="宋体" w:cs="Times New Roman"/>
                <w:color w:val="auto"/>
                <w:kern w:val="0"/>
                <w:szCs w:val="21"/>
                <w:lang w:val="en-US" w:eastAsia="zh-CN"/>
              </w:rPr>
              <w:t>单枪</w:t>
            </w:r>
            <w:r>
              <w:rPr>
                <w:rFonts w:hint="default" w:ascii="Times New Roman" w:hAnsi="Times New Roman" w:eastAsia="宋体" w:cs="Times New Roman"/>
                <w:color w:val="auto"/>
                <w:kern w:val="0"/>
                <w:szCs w:val="21"/>
              </w:rPr>
              <w:t>功率≥480kW</w:t>
            </w:r>
            <w:r>
              <w:rPr>
                <w:rFonts w:hint="default" w:ascii="Times New Roman" w:hAnsi="Times New Roman" w:eastAsia="宋体" w:cs="Times New Roman"/>
                <w:color w:val="auto"/>
                <w:kern w:val="0"/>
                <w:szCs w:val="21"/>
                <w:lang w:val="en-US" w:eastAsia="zh-CN"/>
              </w:rPr>
              <w:t>且</w:t>
            </w:r>
            <w:r>
              <w:rPr>
                <w:rFonts w:hint="default" w:ascii="Times New Roman" w:hAnsi="Times New Roman" w:eastAsia="宋体" w:cs="Times New Roman"/>
                <w:color w:val="auto"/>
                <w:kern w:val="0"/>
                <w:szCs w:val="21"/>
              </w:rPr>
              <w:t>电流≥</w:t>
            </w:r>
            <w:r>
              <w:rPr>
                <w:rFonts w:hint="default" w:ascii="Times New Roman" w:hAnsi="Times New Roman" w:eastAsia="宋体" w:cs="Times New Roman"/>
                <w:color w:val="auto"/>
                <w:kern w:val="0"/>
                <w:szCs w:val="21"/>
                <w:lang w:val="en-US" w:eastAsia="zh-CN"/>
              </w:rPr>
              <w:t>600</w:t>
            </w:r>
            <w:r>
              <w:rPr>
                <w:rFonts w:hint="default" w:ascii="Times New Roman" w:hAnsi="Times New Roman" w:eastAsia="宋体" w:cs="Times New Roman"/>
                <w:color w:val="auto"/>
                <w:kern w:val="0"/>
                <w:szCs w:val="21"/>
              </w:rPr>
              <w:t>A）。</w:t>
            </w:r>
          </w:p>
          <w:p w14:paraId="46A65639">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highlight w:val="none"/>
              </w:rPr>
              <w:t>M——充电场站内大功率充电枪在所有直流充电枪中的占比。</w:t>
            </w:r>
          </w:p>
          <w:p w14:paraId="50F7F52A">
            <w:pPr>
              <w:keepLines w:val="0"/>
              <w:pageBreakBefore w:val="0"/>
              <w:widowControl/>
              <w:kinsoku/>
              <w:wordWrap/>
              <w:overflowPunct/>
              <w:topLinePunct w:val="0"/>
              <w:bidi w:val="0"/>
              <w:adjustRightInd/>
              <w:snapToGrid/>
              <w:ind w:firstLine="0" w:firstLineChars="0"/>
              <w:rPr>
                <w:rFonts w:hint="default" w:ascii="Times New Roman" w:hAnsi="Times New Roman" w:cs="Times New Roman"/>
                <w:color w:val="auto"/>
                <w:szCs w:val="21"/>
              </w:rPr>
            </w:pPr>
            <w:r>
              <w:rPr>
                <w:rFonts w:hint="default" w:ascii="Times New Roman" w:hAnsi="Times New Roman" w:eastAsia="宋体" w:cs="Times New Roman"/>
                <w:color w:val="auto"/>
                <w:kern w:val="0"/>
                <w:szCs w:val="21"/>
                <w:highlight w:val="none"/>
              </w:rPr>
              <w:t>N——充电场站内超充枪在所有直流充电枪中的占比。</w:t>
            </w:r>
          </w:p>
        </w:tc>
        <w:tc>
          <w:tcPr>
            <w:tcW w:w="1833" w:type="dxa"/>
            <w:shd w:val="clear" w:color="000000" w:fill="FFFFFF"/>
            <w:vAlign w:val="center"/>
          </w:tcPr>
          <w:p w14:paraId="7BED3EBD">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kern w:val="0"/>
                <w:szCs w:val="21"/>
                <w:highlight w:val="none"/>
              </w:rPr>
              <w:t>-</w:t>
            </w:r>
            <w:r>
              <w:rPr>
                <w:rFonts w:hint="eastAsia" w:eastAsia="宋体" w:cs="Times New Roman"/>
                <w:color w:val="auto"/>
                <w:kern w:val="0"/>
                <w:szCs w:val="21"/>
                <w:highlight w:val="none"/>
                <w:lang w:val="en-US" w:eastAsia="zh-CN"/>
              </w:rPr>
              <w:t>---</w:t>
            </w:r>
          </w:p>
        </w:tc>
        <w:tc>
          <w:tcPr>
            <w:tcW w:w="1667" w:type="dxa"/>
            <w:shd w:val="clear" w:color="000000" w:fill="FFFFFF"/>
            <w:vAlign w:val="center"/>
          </w:tcPr>
          <w:p w14:paraId="1CCA330F">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lang w:val="en-US" w:eastAsia="zh-CN"/>
              </w:rPr>
            </w:pPr>
            <w:bookmarkStart w:id="19" w:name="OLE_LINK155"/>
            <w:r>
              <w:rPr>
                <w:rFonts w:hint="default" w:ascii="Times New Roman" w:hAnsi="Times New Roman" w:eastAsia="宋体" w:cs="Times New Roman"/>
                <w:color w:val="auto"/>
                <w:kern w:val="0"/>
                <w:szCs w:val="21"/>
                <w:highlight w:val="none"/>
              </w:rPr>
              <w:t>M</w:t>
            </w:r>
            <w:r>
              <w:rPr>
                <w:rFonts w:hint="eastAsia" w:eastAsia="宋体" w:cs="Times New Roman"/>
                <w:color w:val="auto"/>
                <w:kern w:val="0"/>
                <w:szCs w:val="21"/>
                <w:highlight w:val="none"/>
                <w:lang w:val="en-US" w:eastAsia="zh-CN"/>
              </w:rPr>
              <w:t>＞0</w:t>
            </w:r>
          </w:p>
          <w:bookmarkEnd w:id="19"/>
          <w:p w14:paraId="6AAE407D">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或</w:t>
            </w:r>
          </w:p>
          <w:p w14:paraId="30C16886">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eastAsia" w:eastAsia="宋体" w:cs="Times New Roman"/>
                <w:color w:val="auto"/>
                <w:kern w:val="0"/>
                <w:szCs w:val="21"/>
                <w:highlight w:val="none"/>
                <w:lang w:val="en-US" w:eastAsia="zh-CN"/>
              </w:rPr>
              <w:t>N＞0</w:t>
            </w:r>
          </w:p>
        </w:tc>
        <w:tc>
          <w:tcPr>
            <w:tcW w:w="1998" w:type="dxa"/>
            <w:shd w:val="clear" w:color="000000" w:fill="FFFFFF"/>
            <w:vAlign w:val="center"/>
          </w:tcPr>
          <w:p w14:paraId="31FC6B97">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20" w:name="OLE_LINK154"/>
            <w:r>
              <w:rPr>
                <w:rFonts w:hint="default" w:ascii="Times New Roman" w:hAnsi="Times New Roman" w:eastAsia="宋体" w:cs="Times New Roman"/>
                <w:color w:val="auto"/>
                <w:kern w:val="0"/>
                <w:szCs w:val="21"/>
                <w:highlight w:val="none"/>
              </w:rPr>
              <w:t>M≥</w:t>
            </w:r>
            <w:bookmarkEnd w:id="20"/>
            <w:r>
              <w:rPr>
                <w:rFonts w:hint="eastAsia" w:eastAsia="宋体" w:cs="Times New Roman"/>
                <w:color w:val="auto"/>
                <w:kern w:val="0"/>
                <w:szCs w:val="21"/>
                <w:highlight w:val="none"/>
                <w:lang w:val="en-US" w:eastAsia="zh-CN"/>
              </w:rPr>
              <w:t>3</w:t>
            </w:r>
            <w:r>
              <w:rPr>
                <w:rFonts w:hint="default" w:ascii="Times New Roman" w:hAnsi="Times New Roman" w:eastAsia="宋体" w:cs="Times New Roman"/>
                <w:color w:val="auto"/>
                <w:kern w:val="0"/>
                <w:szCs w:val="21"/>
                <w:highlight w:val="none"/>
                <w:lang w:val="en-US" w:eastAsia="zh-CN"/>
              </w:rPr>
              <w:t>0</w:t>
            </w:r>
            <w:r>
              <w:rPr>
                <w:rFonts w:hint="default" w:ascii="Times New Roman" w:hAnsi="Times New Roman" w:eastAsia="宋体" w:cs="Times New Roman"/>
                <w:color w:val="auto"/>
                <w:kern w:val="0"/>
                <w:szCs w:val="21"/>
                <w:highlight w:val="none"/>
              </w:rPr>
              <w:t>%或</w:t>
            </w:r>
          </w:p>
          <w:p w14:paraId="1CD50E03">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eastAsia="宋体" w:cs="Times New Roman"/>
                <w:color w:val="auto"/>
                <w:kern w:val="0"/>
                <w:szCs w:val="21"/>
                <w:highlight w:val="none"/>
              </w:rPr>
              <w:t>N≥</w:t>
            </w:r>
            <w:r>
              <w:rPr>
                <w:rFonts w:hint="default" w:ascii="Times New Roman" w:hAnsi="Times New Roman" w:eastAsia="宋体" w:cs="Times New Roman"/>
                <w:color w:val="auto"/>
                <w:kern w:val="0"/>
                <w:szCs w:val="21"/>
                <w:highlight w:val="none"/>
                <w:lang w:val="en-US" w:eastAsia="zh-CN"/>
              </w:rPr>
              <w:t>1</w:t>
            </w:r>
            <w:r>
              <w:rPr>
                <w:rFonts w:hint="eastAsia"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w:t>
            </w:r>
          </w:p>
        </w:tc>
      </w:tr>
      <w:bookmarkEnd w:id="17"/>
      <w:tr w14:paraId="0E9B5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168" w:type="dxa"/>
            <w:vMerge w:val="restart"/>
            <w:shd w:val="clear" w:color="000000" w:fill="FFFFFF"/>
            <w:noWrap/>
            <w:vAlign w:val="center"/>
          </w:tcPr>
          <w:p w14:paraId="1F4EC66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环境服务</w:t>
            </w:r>
            <w:bookmarkEnd w:id="18"/>
          </w:p>
        </w:tc>
        <w:tc>
          <w:tcPr>
            <w:tcW w:w="1856" w:type="dxa"/>
            <w:shd w:val="clear" w:color="000000" w:fill="FFFFFF"/>
            <w:noWrap/>
            <w:vAlign w:val="center"/>
          </w:tcPr>
          <w:p w14:paraId="746FF6C6">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整体装饰</w:t>
            </w:r>
          </w:p>
        </w:tc>
        <w:tc>
          <w:tcPr>
            <w:tcW w:w="5145" w:type="dxa"/>
            <w:shd w:val="clear" w:color="000000" w:fill="FFFFFF"/>
            <w:vAlign w:val="center"/>
          </w:tcPr>
          <w:p w14:paraId="60CB3AA8">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cs="Times New Roman"/>
                <w:color w:val="auto"/>
                <w:szCs w:val="21"/>
                <w:lang w:val="en-US" w:eastAsia="zh-CN"/>
              </w:rPr>
              <w:t>①</w:t>
            </w:r>
            <w:r>
              <w:rPr>
                <w:rFonts w:hint="default" w:ascii="Times New Roman" w:hAnsi="Times New Roman" w:cs="Times New Roman"/>
                <w:color w:val="auto"/>
                <w:szCs w:val="21"/>
              </w:rPr>
              <w:t>地面宜硬化</w:t>
            </w:r>
            <w:r>
              <w:rPr>
                <w:rFonts w:hint="default" w:ascii="Times New Roman" w:hAnsi="Times New Roman" w:cs="Times New Roman"/>
                <w:color w:val="auto"/>
                <w:szCs w:val="21"/>
                <w:lang w:val="en-US" w:eastAsia="zh-CN"/>
              </w:rPr>
              <w:t>②</w:t>
            </w:r>
            <w:r>
              <w:rPr>
                <w:rFonts w:hint="default" w:ascii="Times New Roman" w:hAnsi="Times New Roman" w:cs="Times New Roman"/>
                <w:color w:val="auto"/>
                <w:szCs w:val="21"/>
              </w:rPr>
              <w:t>车位线清晰</w:t>
            </w:r>
            <w:r>
              <w:rPr>
                <w:rFonts w:hint="default" w:ascii="Times New Roman" w:hAnsi="Times New Roman" w:cs="Times New Roman"/>
                <w:color w:val="auto"/>
                <w:szCs w:val="21"/>
                <w:lang w:val="en-US" w:eastAsia="zh-CN"/>
              </w:rPr>
              <w:t>③</w:t>
            </w:r>
            <w:r>
              <w:rPr>
                <w:rFonts w:hint="default" w:ascii="Times New Roman" w:hAnsi="Times New Roman" w:cs="Times New Roman"/>
                <w:color w:val="auto"/>
                <w:szCs w:val="21"/>
              </w:rPr>
              <w:t>充电车位有明显标识</w:t>
            </w:r>
            <w:r>
              <w:rPr>
                <w:rFonts w:hint="default" w:ascii="Times New Roman" w:hAnsi="Times New Roman" w:cs="Times New Roman"/>
                <w:color w:val="auto"/>
                <w:szCs w:val="21"/>
                <w:lang w:val="en-US" w:eastAsia="zh-CN"/>
              </w:rPr>
              <w:t>④</w:t>
            </w:r>
            <w:r>
              <w:rPr>
                <w:rFonts w:hint="default" w:ascii="Times New Roman" w:hAnsi="Times New Roman" w:cs="Times New Roman"/>
                <w:color w:val="auto"/>
                <w:szCs w:val="21"/>
              </w:rPr>
              <w:t>场站内有明显品牌标识</w:t>
            </w:r>
            <w:r>
              <w:rPr>
                <w:rFonts w:hint="default" w:ascii="Times New Roman" w:hAnsi="Times New Roman" w:cs="Times New Roman"/>
                <w:color w:val="auto"/>
                <w:szCs w:val="21"/>
                <w:lang w:val="en-US" w:eastAsia="zh-CN"/>
              </w:rPr>
              <w:t>⑤</w:t>
            </w:r>
            <w:r>
              <w:rPr>
                <w:rFonts w:hint="eastAsia" w:cs="Times New Roman"/>
                <w:color w:val="auto"/>
                <w:szCs w:val="21"/>
                <w:lang w:val="en-US" w:eastAsia="zh-CN"/>
              </w:rPr>
              <w:t>如有超充设备，</w:t>
            </w:r>
            <w:r>
              <w:rPr>
                <w:rFonts w:hint="default" w:ascii="Times New Roman" w:hAnsi="Times New Roman" w:cs="Times New Roman"/>
                <w:color w:val="auto"/>
                <w:szCs w:val="21"/>
              </w:rPr>
              <w:t>超充车位有差异化专用标识。</w:t>
            </w:r>
          </w:p>
        </w:tc>
        <w:tc>
          <w:tcPr>
            <w:tcW w:w="1833" w:type="dxa"/>
            <w:shd w:val="clear" w:color="000000" w:fill="FFFFFF"/>
            <w:vAlign w:val="center"/>
          </w:tcPr>
          <w:p w14:paraId="102B2DE4">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w:t>
            </w:r>
          </w:p>
        </w:tc>
        <w:tc>
          <w:tcPr>
            <w:tcW w:w="1667" w:type="dxa"/>
            <w:shd w:val="clear" w:color="000000" w:fill="FFFFFF"/>
            <w:vAlign w:val="center"/>
          </w:tcPr>
          <w:p w14:paraId="1C92CBE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lang w:val="en-US" w:eastAsia="zh-CN"/>
              </w:rPr>
              <w:t>4</w:t>
            </w:r>
            <w:r>
              <w:rPr>
                <w:rFonts w:hint="default" w:ascii="Times New Roman" w:hAnsi="Times New Roman" w:cs="Times New Roman"/>
                <w:color w:val="auto"/>
                <w:szCs w:val="21"/>
              </w:rPr>
              <w:t>项符合</w:t>
            </w:r>
          </w:p>
        </w:tc>
        <w:tc>
          <w:tcPr>
            <w:tcW w:w="1998" w:type="dxa"/>
            <w:shd w:val="clear" w:color="000000" w:fill="FFFFFF"/>
            <w:vAlign w:val="center"/>
          </w:tcPr>
          <w:p w14:paraId="6C07CD0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eastAsia" w:cs="Times New Roman"/>
                <w:color w:val="auto"/>
                <w:szCs w:val="21"/>
                <w:lang w:val="en-US" w:eastAsia="zh-CN"/>
              </w:rPr>
              <w:t>全部</w:t>
            </w:r>
            <w:r>
              <w:rPr>
                <w:rFonts w:hint="default" w:ascii="Times New Roman" w:hAnsi="Times New Roman" w:cs="Times New Roman"/>
                <w:color w:val="auto"/>
                <w:szCs w:val="21"/>
              </w:rPr>
              <w:t>符合</w:t>
            </w:r>
          </w:p>
        </w:tc>
      </w:tr>
      <w:tr w14:paraId="56B55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68" w:type="dxa"/>
            <w:vMerge w:val="continue"/>
            <w:shd w:val="clear" w:color="000000" w:fill="FFFFFF"/>
            <w:noWrap/>
            <w:vAlign w:val="center"/>
          </w:tcPr>
          <w:p w14:paraId="3758B5F2">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rPr>
            </w:pPr>
          </w:p>
        </w:tc>
        <w:tc>
          <w:tcPr>
            <w:tcW w:w="1856" w:type="dxa"/>
            <w:shd w:val="clear" w:color="000000" w:fill="FFFFFF"/>
            <w:noWrap/>
            <w:vAlign w:val="center"/>
          </w:tcPr>
          <w:p w14:paraId="0AA239C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遮阳挡雨</w:t>
            </w:r>
          </w:p>
        </w:tc>
        <w:tc>
          <w:tcPr>
            <w:tcW w:w="5145" w:type="dxa"/>
            <w:shd w:val="clear" w:color="000000" w:fill="FFFFFF"/>
            <w:vAlign w:val="center"/>
          </w:tcPr>
          <w:p w14:paraId="2B67FBE2">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露天场站有雨棚，非露天场站顶棚整洁。</w:t>
            </w:r>
          </w:p>
        </w:tc>
        <w:tc>
          <w:tcPr>
            <w:tcW w:w="1833" w:type="dxa"/>
            <w:shd w:val="clear" w:color="000000" w:fill="FFFFFF"/>
            <w:vAlign w:val="center"/>
          </w:tcPr>
          <w:p w14:paraId="0A097790">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w:t>
            </w:r>
          </w:p>
        </w:tc>
        <w:tc>
          <w:tcPr>
            <w:tcW w:w="1667" w:type="dxa"/>
            <w:shd w:val="clear" w:color="000000" w:fill="FFFFFF"/>
            <w:vAlign w:val="center"/>
          </w:tcPr>
          <w:p w14:paraId="4FF03C71">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eastAsiaTheme="minorEastAsia"/>
                <w:color w:val="auto"/>
                <w:kern w:val="0"/>
                <w:szCs w:val="21"/>
                <w:lang w:val="en-US" w:eastAsia="zh-CN"/>
              </w:rPr>
            </w:pP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w:t>
            </w:r>
          </w:p>
        </w:tc>
        <w:tc>
          <w:tcPr>
            <w:tcW w:w="1998" w:type="dxa"/>
            <w:shd w:val="clear" w:color="000000" w:fill="FFFFFF"/>
            <w:vAlign w:val="center"/>
          </w:tcPr>
          <w:p w14:paraId="0EF5FACC">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bookmarkStart w:id="21" w:name="OLE_LINK118"/>
            <w:r>
              <w:rPr>
                <w:rFonts w:hint="default" w:ascii="Times New Roman" w:hAnsi="Times New Roman" w:cs="Times New Roman"/>
                <w:color w:val="auto"/>
                <w:szCs w:val="21"/>
              </w:rPr>
              <w:t>是</w:t>
            </w:r>
            <w:bookmarkEnd w:id="21"/>
          </w:p>
        </w:tc>
      </w:tr>
      <w:tr w14:paraId="06C58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168" w:type="dxa"/>
            <w:shd w:val="clear" w:color="000000" w:fill="FFFFFF"/>
            <w:noWrap/>
            <w:vAlign w:val="center"/>
          </w:tcPr>
          <w:p w14:paraId="3A473D3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售后服务</w:t>
            </w:r>
          </w:p>
        </w:tc>
        <w:tc>
          <w:tcPr>
            <w:tcW w:w="1856" w:type="dxa"/>
            <w:shd w:val="clear" w:color="000000" w:fill="FFFFFF"/>
            <w:noWrap/>
            <w:vAlign w:val="center"/>
          </w:tcPr>
          <w:p w14:paraId="6838B45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bookmarkStart w:id="22" w:name="OLE_LINK120"/>
            <w:r>
              <w:rPr>
                <w:rFonts w:hint="default" w:ascii="Times New Roman" w:hAnsi="Times New Roman" w:cs="Times New Roman"/>
                <w:color w:val="auto"/>
                <w:szCs w:val="21"/>
              </w:rPr>
              <w:t>客服渠道</w:t>
            </w:r>
            <w:bookmarkEnd w:id="22"/>
          </w:p>
        </w:tc>
        <w:tc>
          <w:tcPr>
            <w:tcW w:w="5145" w:type="dxa"/>
            <w:shd w:val="clear" w:color="000000" w:fill="FFFFFF"/>
            <w:vAlign w:val="center"/>
          </w:tcPr>
          <w:p w14:paraId="6E8E0041">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提供APP线上客服以及7*24小时人工客服。</w:t>
            </w:r>
          </w:p>
        </w:tc>
        <w:tc>
          <w:tcPr>
            <w:tcW w:w="1833" w:type="dxa"/>
            <w:shd w:val="clear" w:color="000000" w:fill="FFFFFF"/>
            <w:vAlign w:val="center"/>
          </w:tcPr>
          <w:p w14:paraId="1E76C2F3">
            <w:pPr>
              <w:keepLines w:val="0"/>
              <w:pageBreakBefore w:val="0"/>
              <w:widowControl/>
              <w:kinsoku/>
              <w:wordWrap/>
              <w:overflowPunct/>
              <w:topLinePunct w:val="0"/>
              <w:bidi w:val="0"/>
              <w:adjustRightInd/>
              <w:snapToGrid/>
              <w:ind w:firstLine="0" w:firstLineChars="0"/>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w:t>
            </w:r>
          </w:p>
        </w:tc>
        <w:tc>
          <w:tcPr>
            <w:tcW w:w="1667" w:type="dxa"/>
            <w:shd w:val="clear" w:color="000000" w:fill="FFFFFF"/>
            <w:vAlign w:val="center"/>
          </w:tcPr>
          <w:p w14:paraId="009ED0E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有</w:t>
            </w:r>
          </w:p>
        </w:tc>
        <w:tc>
          <w:tcPr>
            <w:tcW w:w="1998" w:type="dxa"/>
            <w:shd w:val="clear" w:color="000000" w:fill="FFFFFF"/>
            <w:vAlign w:val="center"/>
          </w:tcPr>
          <w:p w14:paraId="1606F2C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cs="Times New Roman"/>
                <w:color w:val="auto"/>
                <w:szCs w:val="21"/>
              </w:rPr>
              <w:t>有</w:t>
            </w:r>
          </w:p>
        </w:tc>
      </w:tr>
      <w:bookmarkEnd w:id="12"/>
      <w:bookmarkEnd w:id="13"/>
    </w:tbl>
    <w:p w14:paraId="3164DD79">
      <w:pPr>
        <w:pStyle w:val="5"/>
        <w:keepNext/>
        <w:keepLines w:val="0"/>
        <w:pageBreakBefore w:val="0"/>
        <w:numPr>
          <w:ilvl w:val="0"/>
          <w:numId w:val="0"/>
        </w:numPr>
        <w:tabs>
          <w:tab w:val="left" w:pos="360"/>
        </w:tabs>
        <w:kinsoku/>
        <w:wordWrap/>
        <w:overflowPunct/>
        <w:topLinePunct w:val="0"/>
        <w:bidi w:val="0"/>
        <w:adjustRightInd/>
        <w:snapToGrid/>
        <w:spacing w:before="0" w:after="40" w:line="240" w:lineRule="auto"/>
        <w:ind w:firstLine="0" w:firstLineChars="0"/>
        <w:jc w:val="left"/>
        <w:rPr>
          <w:rFonts w:hint="default" w:ascii="Times New Roman" w:hAnsi="Times New Roman" w:cs="Times New Roman"/>
          <w:color w:val="auto"/>
          <w:lang w:val="en-US" w:eastAsia="zh-CN"/>
        </w:rPr>
      </w:pPr>
      <w:bookmarkStart w:id="23" w:name="_Toc876"/>
    </w:p>
    <w:p w14:paraId="6B20A0E9">
      <w:pPr>
        <w:pStyle w:val="5"/>
        <w:keepNext/>
        <w:keepLines w:val="0"/>
        <w:pageBreakBefore w:val="0"/>
        <w:numPr>
          <w:ilvl w:val="0"/>
          <w:numId w:val="0"/>
        </w:numPr>
        <w:tabs>
          <w:tab w:val="left" w:pos="360"/>
        </w:tabs>
        <w:kinsoku/>
        <w:wordWrap/>
        <w:overflowPunct/>
        <w:topLinePunct w:val="0"/>
        <w:bidi w:val="0"/>
        <w:adjustRightInd/>
        <w:snapToGrid/>
        <w:spacing w:before="0" w:after="40" w:line="240" w:lineRule="auto"/>
        <w:ind w:firstLine="0" w:firstLineChars="0"/>
        <w:jc w:val="left"/>
        <w:rPr>
          <w:rFonts w:hint="default" w:ascii="Times New Roman" w:hAnsi="Times New Roman" w:cs="Times New Roman"/>
          <w:color w:val="auto"/>
        </w:rPr>
        <w:sectPr>
          <w:pgSz w:w="16838" w:h="11906" w:orient="landscape"/>
          <w:pgMar w:top="1800" w:right="1440" w:bottom="1800" w:left="1440" w:header="851" w:footer="992" w:gutter="0"/>
          <w:pgNumType w:fmt="decimal"/>
          <w:cols w:space="425" w:num="1"/>
          <w:docGrid w:type="lines" w:linePitch="312" w:charSpace="0"/>
        </w:sectPr>
      </w:pPr>
      <w:r>
        <w:rPr>
          <w:rFonts w:hint="default" w:ascii="Times New Roman" w:hAnsi="Times New Roman" w:cs="Times New Roman"/>
          <w:color w:val="auto"/>
          <w:lang w:val="en-US" w:eastAsia="zh-CN"/>
        </w:rPr>
        <w:t>注：充电桩以充电终端为准。</w:t>
      </w:r>
      <w:bookmarkEnd w:id="23"/>
    </w:p>
    <w:p w14:paraId="1AB7ED3C">
      <w:pPr>
        <w:pStyle w:val="5"/>
        <w:keepNext/>
        <w:keepLines w:val="0"/>
        <w:pageBreakBefore w:val="0"/>
        <w:numPr>
          <w:ilvl w:val="0"/>
          <w:numId w:val="0"/>
        </w:numPr>
        <w:tabs>
          <w:tab w:val="left" w:pos="360"/>
        </w:tabs>
        <w:kinsoku/>
        <w:wordWrap/>
        <w:overflowPunct/>
        <w:topLinePunct w:val="0"/>
        <w:bidi w:val="0"/>
        <w:adjustRightInd/>
        <w:snapToGrid/>
        <w:spacing w:before="0" w:after="40" w:line="240" w:lineRule="auto"/>
        <w:ind w:firstLine="0" w:firstLineChars="0"/>
        <w:rPr>
          <w:rFonts w:hint="eastAsia" w:ascii="黑体" w:hAnsi="黑体" w:eastAsia="黑体" w:cs="黑体"/>
          <w:color w:val="auto"/>
          <w:sz w:val="32"/>
          <w:szCs w:val="32"/>
          <w:highlight w:val="yellow"/>
          <w:lang w:val="en-US" w:eastAsia="zh-CN"/>
        </w:rPr>
      </w:pPr>
      <w:bookmarkStart w:id="24" w:name="_Toc14344"/>
      <w:r>
        <w:rPr>
          <w:rFonts w:hint="eastAsia" w:ascii="黑体" w:hAnsi="黑体" w:eastAsia="黑体" w:cs="黑体"/>
          <w:color w:val="auto"/>
          <w:sz w:val="32"/>
          <w:szCs w:val="32"/>
          <w:highlight w:val="yellow"/>
          <w:lang w:val="en-US" w:eastAsia="zh-CN"/>
        </w:rPr>
        <w:t>附件2.   电动汽车“星级充电站”等级考核评价标准</w:t>
      </w:r>
    </w:p>
    <w:p w14:paraId="45303125">
      <w:pPr>
        <w:pStyle w:val="5"/>
        <w:keepNext/>
        <w:keepLines w:val="0"/>
        <w:pageBreakBefore w:val="0"/>
        <w:numPr>
          <w:ilvl w:val="0"/>
          <w:numId w:val="0"/>
        </w:numPr>
        <w:tabs>
          <w:tab w:val="left" w:pos="360"/>
        </w:tabs>
        <w:kinsoku/>
        <w:wordWrap/>
        <w:overflowPunct/>
        <w:topLinePunct w:val="0"/>
        <w:bidi w:val="0"/>
        <w:adjustRightInd/>
        <w:snapToGrid/>
        <w:spacing w:before="0" w:after="40" w:line="240" w:lineRule="auto"/>
        <w:ind w:firstLine="0" w:firstLineChars="0"/>
        <w:rPr>
          <w:rFonts w:hint="default" w:ascii="Times New Roman" w:hAnsi="Times New Roman" w:cs="Times New Roman"/>
          <w:color w:val="auto"/>
        </w:rPr>
      </w:pPr>
      <w:r>
        <w:rPr>
          <w:rFonts w:hint="default" w:ascii="Times New Roman" w:hAnsi="Times New Roman" w:eastAsia="宋体" w:cs="Times New Roman"/>
          <w:b/>
          <w:bCs/>
          <w:color w:val="auto"/>
          <w:kern w:val="0"/>
          <w:sz w:val="22"/>
          <w:szCs w:val="22"/>
        </w:rPr>
        <w:t>（注：评价结果若对应多个分级，取最低分级）</w:t>
      </w:r>
    </w:p>
    <w:bookmarkEnd w:id="24"/>
    <w:tbl>
      <w:tblPr>
        <w:tblStyle w:val="3"/>
        <w:tblW w:w="13735" w:type="dxa"/>
        <w:jc w:val="center"/>
        <w:tblLayout w:type="fixed"/>
        <w:tblCellMar>
          <w:top w:w="0" w:type="dxa"/>
          <w:left w:w="108" w:type="dxa"/>
          <w:bottom w:w="0" w:type="dxa"/>
          <w:right w:w="108" w:type="dxa"/>
        </w:tblCellMar>
      </w:tblPr>
      <w:tblGrid>
        <w:gridCol w:w="1187"/>
        <w:gridCol w:w="1955"/>
        <w:gridCol w:w="5079"/>
        <w:gridCol w:w="965"/>
        <w:gridCol w:w="1015"/>
        <w:gridCol w:w="968"/>
        <w:gridCol w:w="1023"/>
        <w:gridCol w:w="1543"/>
      </w:tblGrid>
      <w:tr w14:paraId="41685969">
        <w:tblPrEx>
          <w:tblCellMar>
            <w:top w:w="0" w:type="dxa"/>
            <w:left w:w="108" w:type="dxa"/>
            <w:bottom w:w="0" w:type="dxa"/>
            <w:right w:w="108" w:type="dxa"/>
          </w:tblCellMar>
        </w:tblPrEx>
        <w:trPr>
          <w:trHeight w:val="385" w:hRule="atLeast"/>
          <w:tblHeader/>
          <w:jc w:val="center"/>
        </w:trPr>
        <w:tc>
          <w:tcPr>
            <w:tcW w:w="8221" w:type="dxa"/>
            <w:gridSpan w:val="3"/>
            <w:tcBorders>
              <w:top w:val="single" w:color="auto" w:sz="4" w:space="0"/>
              <w:left w:val="single" w:color="auto" w:sz="4" w:space="0"/>
              <w:bottom w:val="single" w:color="auto" w:sz="4" w:space="0"/>
              <w:right w:val="single" w:color="000000" w:sz="4" w:space="0"/>
            </w:tcBorders>
            <w:shd w:val="clear" w:color="000000" w:fill="FFFFFF"/>
            <w:noWrap/>
            <w:vAlign w:val="center"/>
          </w:tcPr>
          <w:p w14:paraId="5970676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运营效率</w:t>
            </w:r>
          </w:p>
        </w:tc>
        <w:tc>
          <w:tcPr>
            <w:tcW w:w="5514" w:type="dxa"/>
            <w:gridSpan w:val="5"/>
            <w:tcBorders>
              <w:top w:val="single" w:color="auto" w:sz="4" w:space="0"/>
              <w:left w:val="single" w:color="auto" w:sz="4" w:space="0"/>
              <w:bottom w:val="single" w:color="auto" w:sz="4" w:space="0"/>
              <w:right w:val="single" w:color="000000" w:sz="4" w:space="0"/>
            </w:tcBorders>
            <w:shd w:val="clear" w:color="000000" w:fill="FFFFFF"/>
            <w:noWrap/>
            <w:vAlign w:val="center"/>
          </w:tcPr>
          <w:p w14:paraId="01089962">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分级评价</w:t>
            </w:r>
          </w:p>
        </w:tc>
      </w:tr>
      <w:tr w14:paraId="410FBD20">
        <w:tblPrEx>
          <w:tblCellMar>
            <w:top w:w="0" w:type="dxa"/>
            <w:left w:w="108" w:type="dxa"/>
            <w:bottom w:w="0" w:type="dxa"/>
            <w:right w:w="108" w:type="dxa"/>
          </w:tblCellMar>
        </w:tblPrEx>
        <w:trPr>
          <w:trHeight w:val="385" w:hRule="atLeast"/>
          <w:tblHeader/>
          <w:jc w:val="center"/>
        </w:trPr>
        <w:tc>
          <w:tcPr>
            <w:tcW w:w="1187" w:type="dxa"/>
            <w:tcBorders>
              <w:top w:val="nil"/>
              <w:left w:val="single" w:color="auto" w:sz="4" w:space="0"/>
              <w:bottom w:val="single" w:color="auto" w:sz="4" w:space="0"/>
              <w:right w:val="single" w:color="auto" w:sz="4" w:space="0"/>
            </w:tcBorders>
            <w:shd w:val="clear" w:color="000000" w:fill="FFFFFF"/>
            <w:vAlign w:val="center"/>
          </w:tcPr>
          <w:p w14:paraId="15F97E34">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一级指标</w:t>
            </w:r>
          </w:p>
        </w:tc>
        <w:tc>
          <w:tcPr>
            <w:tcW w:w="1955" w:type="dxa"/>
            <w:tcBorders>
              <w:top w:val="nil"/>
              <w:left w:val="nil"/>
              <w:bottom w:val="single" w:color="auto" w:sz="4" w:space="0"/>
              <w:right w:val="single" w:color="auto" w:sz="4" w:space="0"/>
            </w:tcBorders>
            <w:shd w:val="clear" w:color="000000" w:fill="FFFFFF"/>
            <w:noWrap/>
            <w:vAlign w:val="center"/>
          </w:tcPr>
          <w:p w14:paraId="203CACC5">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二级指标</w:t>
            </w:r>
          </w:p>
        </w:tc>
        <w:tc>
          <w:tcPr>
            <w:tcW w:w="5079" w:type="dxa"/>
            <w:tcBorders>
              <w:top w:val="nil"/>
              <w:left w:val="nil"/>
              <w:bottom w:val="single" w:color="auto" w:sz="4" w:space="0"/>
              <w:right w:val="single" w:color="auto" w:sz="4" w:space="0"/>
            </w:tcBorders>
            <w:shd w:val="clear" w:color="000000" w:fill="FFFFFF"/>
            <w:vAlign w:val="center"/>
          </w:tcPr>
          <w:p w14:paraId="797D950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说明</w:t>
            </w:r>
          </w:p>
        </w:tc>
        <w:tc>
          <w:tcPr>
            <w:tcW w:w="965" w:type="dxa"/>
            <w:tcBorders>
              <w:top w:val="nil"/>
              <w:left w:val="nil"/>
              <w:bottom w:val="single" w:color="auto" w:sz="4" w:space="0"/>
              <w:right w:val="single" w:color="auto" w:sz="4" w:space="0"/>
            </w:tcBorders>
            <w:shd w:val="clear" w:color="000000" w:fill="FFFFFF"/>
            <w:vAlign w:val="center"/>
          </w:tcPr>
          <w:p w14:paraId="15E90A1C">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一级</w:t>
            </w:r>
          </w:p>
        </w:tc>
        <w:tc>
          <w:tcPr>
            <w:tcW w:w="1015" w:type="dxa"/>
            <w:tcBorders>
              <w:top w:val="nil"/>
              <w:left w:val="nil"/>
              <w:bottom w:val="single" w:color="auto" w:sz="4" w:space="0"/>
              <w:right w:val="single" w:color="auto" w:sz="4" w:space="0"/>
            </w:tcBorders>
            <w:shd w:val="clear" w:color="000000" w:fill="FFFFFF"/>
            <w:vAlign w:val="center"/>
          </w:tcPr>
          <w:p w14:paraId="249E956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二级</w:t>
            </w:r>
          </w:p>
        </w:tc>
        <w:tc>
          <w:tcPr>
            <w:tcW w:w="968" w:type="dxa"/>
            <w:tcBorders>
              <w:top w:val="nil"/>
              <w:left w:val="nil"/>
              <w:bottom w:val="single" w:color="auto" w:sz="4" w:space="0"/>
              <w:right w:val="single" w:color="auto" w:sz="4" w:space="0"/>
            </w:tcBorders>
            <w:shd w:val="clear" w:color="000000" w:fill="FFFFFF"/>
            <w:vAlign w:val="center"/>
          </w:tcPr>
          <w:p w14:paraId="1FA08B3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三级</w:t>
            </w:r>
          </w:p>
        </w:tc>
        <w:tc>
          <w:tcPr>
            <w:tcW w:w="1023" w:type="dxa"/>
            <w:tcBorders>
              <w:top w:val="nil"/>
              <w:left w:val="nil"/>
              <w:bottom w:val="single" w:color="auto" w:sz="4" w:space="0"/>
              <w:right w:val="single" w:color="auto" w:sz="4" w:space="0"/>
            </w:tcBorders>
            <w:shd w:val="clear" w:color="000000" w:fill="FFFFFF"/>
            <w:vAlign w:val="center"/>
          </w:tcPr>
          <w:p w14:paraId="6C96CE4F">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四级</w:t>
            </w:r>
          </w:p>
        </w:tc>
        <w:tc>
          <w:tcPr>
            <w:tcW w:w="1543" w:type="dxa"/>
            <w:tcBorders>
              <w:top w:val="nil"/>
              <w:left w:val="nil"/>
              <w:bottom w:val="single" w:color="auto" w:sz="4" w:space="0"/>
              <w:right w:val="single" w:color="auto" w:sz="4" w:space="0"/>
            </w:tcBorders>
            <w:shd w:val="clear" w:color="000000" w:fill="FFFFFF"/>
            <w:vAlign w:val="center"/>
          </w:tcPr>
          <w:p w14:paraId="7EA8C725">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五级</w:t>
            </w:r>
          </w:p>
        </w:tc>
      </w:tr>
      <w:tr w14:paraId="3675A878">
        <w:tblPrEx>
          <w:tblCellMar>
            <w:top w:w="0" w:type="dxa"/>
            <w:left w:w="108" w:type="dxa"/>
            <w:bottom w:w="0" w:type="dxa"/>
            <w:right w:w="108" w:type="dxa"/>
          </w:tblCellMar>
        </w:tblPrEx>
        <w:trPr>
          <w:trHeight w:val="2203" w:hRule="atLeast"/>
          <w:jc w:val="center"/>
        </w:trPr>
        <w:tc>
          <w:tcPr>
            <w:tcW w:w="1187" w:type="dxa"/>
            <w:vMerge w:val="restart"/>
            <w:tcBorders>
              <w:top w:val="nil"/>
              <w:left w:val="single" w:color="auto" w:sz="4" w:space="0"/>
              <w:bottom w:val="single" w:color="000000" w:sz="4" w:space="0"/>
              <w:right w:val="single" w:color="auto" w:sz="4" w:space="0"/>
            </w:tcBorders>
            <w:shd w:val="clear" w:color="000000" w:fill="FFFFFF"/>
            <w:vAlign w:val="center"/>
          </w:tcPr>
          <w:p w14:paraId="07A26FD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bookmarkStart w:id="25" w:name="OLE_LINK99"/>
            <w:r>
              <w:rPr>
                <w:rFonts w:hint="default" w:ascii="Times New Roman" w:hAnsi="Times New Roman" w:eastAsia="宋体" w:cs="Times New Roman"/>
                <w:color w:val="auto"/>
                <w:kern w:val="0"/>
                <w:szCs w:val="21"/>
              </w:rPr>
              <w:t>运营管理</w:t>
            </w:r>
            <w:bookmarkEnd w:id="25"/>
          </w:p>
          <w:p w14:paraId="4ADC44D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（1</w:t>
            </w:r>
            <w:r>
              <w:rPr>
                <w:rFonts w:hint="default" w:ascii="Times New Roman" w:hAnsi="Times New Roman" w:eastAsia="宋体" w:cs="Times New Roman"/>
                <w:color w:val="auto"/>
                <w:kern w:val="0"/>
                <w:szCs w:val="21"/>
                <w:lang w:val="en-US" w:eastAsia="zh-CN"/>
              </w:rPr>
              <w:t>0</w:t>
            </w:r>
            <w:r>
              <w:rPr>
                <w:rFonts w:hint="default" w:ascii="Times New Roman" w:hAnsi="Times New Roman" w:eastAsia="宋体" w:cs="Times New Roman"/>
                <w:color w:val="auto"/>
                <w:kern w:val="0"/>
                <w:szCs w:val="21"/>
              </w:rPr>
              <w:t>分值）</w:t>
            </w:r>
          </w:p>
        </w:tc>
        <w:tc>
          <w:tcPr>
            <w:tcW w:w="1955" w:type="dxa"/>
            <w:tcBorders>
              <w:top w:val="nil"/>
              <w:left w:val="nil"/>
              <w:bottom w:val="single" w:color="auto" w:sz="4" w:space="0"/>
              <w:right w:val="single" w:color="auto" w:sz="4" w:space="0"/>
            </w:tcBorders>
            <w:shd w:val="clear" w:color="000000" w:fill="FFFFFF"/>
            <w:noWrap/>
            <w:vAlign w:val="center"/>
          </w:tcPr>
          <w:p w14:paraId="4FB55D1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val="en-US" w:eastAsia="zh-CN"/>
              </w:rPr>
              <w:t>车位</w:t>
            </w:r>
            <w:r>
              <w:rPr>
                <w:rFonts w:hint="default" w:ascii="Times New Roman" w:hAnsi="Times New Roman" w:eastAsia="宋体" w:cs="Times New Roman"/>
                <w:color w:val="auto"/>
                <w:kern w:val="0"/>
                <w:szCs w:val="21"/>
              </w:rPr>
              <w:t>违规占用</w:t>
            </w:r>
            <w:bookmarkStart w:id="26" w:name="OLE_LINK6"/>
          </w:p>
          <w:bookmarkEnd w:id="26"/>
          <w:p w14:paraId="0A1E570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w:t>
            </w:r>
            <w:r>
              <w:rPr>
                <w:rFonts w:hint="default" w:ascii="Times New Roman" w:hAnsi="Times New Roman" w:eastAsia="宋体" w:cs="Times New Roman"/>
                <w:color w:val="auto"/>
                <w:kern w:val="0"/>
                <w:szCs w:val="21"/>
                <w:lang w:val="en-US" w:eastAsia="zh-CN"/>
              </w:rPr>
              <w:t>4</w:t>
            </w:r>
            <w:r>
              <w:rPr>
                <w:rFonts w:hint="default" w:ascii="Times New Roman" w:hAnsi="Times New Roman" w:eastAsia="宋体" w:cs="Times New Roman"/>
                <w:color w:val="auto"/>
                <w:kern w:val="0"/>
                <w:szCs w:val="21"/>
              </w:rPr>
              <w:t>分值）</w:t>
            </w:r>
          </w:p>
        </w:tc>
        <w:tc>
          <w:tcPr>
            <w:tcW w:w="5079" w:type="dxa"/>
            <w:tcBorders>
              <w:top w:val="nil"/>
              <w:left w:val="nil"/>
              <w:bottom w:val="single" w:color="auto" w:sz="4" w:space="0"/>
              <w:right w:val="single" w:color="auto" w:sz="4" w:space="0"/>
            </w:tcBorders>
            <w:shd w:val="clear" w:color="000000" w:fill="FFFFFF"/>
            <w:vAlign w:val="center"/>
          </w:tcPr>
          <w:p w14:paraId="0E9E895F">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bookmarkStart w:id="27" w:name="OLE_LINK128"/>
            <w:r>
              <w:rPr>
                <w:rFonts w:hint="default" w:ascii="Times New Roman" w:hAnsi="Times New Roman" w:eastAsia="宋体" w:cs="Times New Roman"/>
                <w:color w:val="auto"/>
                <w:kern w:val="0"/>
                <w:szCs w:val="21"/>
              </w:rPr>
              <w:t>指每座充电场站中被燃油车辆或未充电、充电完成车辆超时占用的充电车位数量占该座充电场站中所有充电车位数量的比例。</w:t>
            </w:r>
          </w:p>
          <w:p w14:paraId="4755CDEC">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有管理制度，有系统制度留痕。</w:t>
            </w:r>
          </w:p>
          <w:p w14:paraId="26791CD3">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（针对空闲充电车位是否有占位，占位率N=非充电车辆停靠充电车位/空闲充电车位）</w:t>
            </w:r>
            <w:bookmarkEnd w:id="27"/>
          </w:p>
        </w:tc>
        <w:tc>
          <w:tcPr>
            <w:tcW w:w="965" w:type="dxa"/>
            <w:tcBorders>
              <w:top w:val="nil"/>
              <w:left w:val="nil"/>
              <w:bottom w:val="single" w:color="auto" w:sz="4" w:space="0"/>
              <w:right w:val="single" w:color="auto" w:sz="4" w:space="0"/>
            </w:tcBorders>
            <w:shd w:val="clear" w:color="000000" w:fill="FFFFFF"/>
            <w:vAlign w:val="center"/>
          </w:tcPr>
          <w:p w14:paraId="240F433C">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无管理制度或系统留痕</w:t>
            </w:r>
          </w:p>
        </w:tc>
        <w:tc>
          <w:tcPr>
            <w:tcW w:w="1015" w:type="dxa"/>
            <w:tcBorders>
              <w:top w:val="nil"/>
              <w:left w:val="nil"/>
              <w:bottom w:val="single" w:color="auto" w:sz="4" w:space="0"/>
              <w:right w:val="single" w:color="auto" w:sz="4" w:space="0"/>
            </w:tcBorders>
            <w:shd w:val="clear" w:color="000000" w:fill="FFFFFF"/>
            <w:vAlign w:val="center"/>
          </w:tcPr>
          <w:p w14:paraId="3C4180B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N＞50%</w:t>
            </w:r>
          </w:p>
        </w:tc>
        <w:tc>
          <w:tcPr>
            <w:tcW w:w="968" w:type="dxa"/>
            <w:tcBorders>
              <w:top w:val="nil"/>
              <w:left w:val="nil"/>
              <w:bottom w:val="single" w:color="auto" w:sz="4" w:space="0"/>
              <w:right w:val="single" w:color="auto" w:sz="4" w:space="0"/>
            </w:tcBorders>
            <w:shd w:val="clear" w:color="000000" w:fill="FFFFFF"/>
            <w:vAlign w:val="center"/>
          </w:tcPr>
          <w:p w14:paraId="54C7A46F">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50%≥N＞20%</w:t>
            </w:r>
          </w:p>
        </w:tc>
        <w:tc>
          <w:tcPr>
            <w:tcW w:w="1023" w:type="dxa"/>
            <w:tcBorders>
              <w:top w:val="nil"/>
              <w:left w:val="nil"/>
              <w:bottom w:val="single" w:color="auto" w:sz="4" w:space="0"/>
              <w:right w:val="single" w:color="auto" w:sz="4" w:space="0"/>
            </w:tcBorders>
            <w:shd w:val="clear" w:color="000000" w:fill="FFFFFF"/>
            <w:vAlign w:val="center"/>
          </w:tcPr>
          <w:p w14:paraId="358769A5">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20%≥N＞0</w:t>
            </w:r>
          </w:p>
        </w:tc>
        <w:tc>
          <w:tcPr>
            <w:tcW w:w="1543" w:type="dxa"/>
            <w:tcBorders>
              <w:top w:val="nil"/>
              <w:left w:val="nil"/>
              <w:bottom w:val="single" w:color="auto" w:sz="4" w:space="0"/>
              <w:right w:val="single" w:color="auto" w:sz="4" w:space="0"/>
            </w:tcBorders>
            <w:shd w:val="clear" w:color="000000" w:fill="FFFFFF"/>
            <w:vAlign w:val="center"/>
          </w:tcPr>
          <w:p w14:paraId="62128202">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无占位</w:t>
            </w:r>
          </w:p>
        </w:tc>
      </w:tr>
      <w:tr w14:paraId="29F2922C">
        <w:tblPrEx>
          <w:tblCellMar>
            <w:top w:w="0" w:type="dxa"/>
            <w:left w:w="108" w:type="dxa"/>
            <w:bottom w:w="0" w:type="dxa"/>
            <w:right w:w="108" w:type="dxa"/>
          </w:tblCellMar>
        </w:tblPrEx>
        <w:trPr>
          <w:trHeight w:val="1112" w:hRule="atLeast"/>
          <w:jc w:val="center"/>
        </w:trPr>
        <w:tc>
          <w:tcPr>
            <w:tcW w:w="1187" w:type="dxa"/>
            <w:vMerge w:val="continue"/>
            <w:tcBorders>
              <w:left w:val="single" w:color="auto" w:sz="4" w:space="0"/>
              <w:right w:val="single" w:color="auto" w:sz="4" w:space="0"/>
            </w:tcBorders>
            <w:shd w:val="clear" w:color="000000" w:fill="FFFFFF"/>
            <w:vAlign w:val="center"/>
          </w:tcPr>
          <w:p w14:paraId="243A52B0">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rPr>
            </w:pPr>
          </w:p>
        </w:tc>
        <w:tc>
          <w:tcPr>
            <w:tcW w:w="1955" w:type="dxa"/>
            <w:tcBorders>
              <w:top w:val="nil"/>
              <w:left w:val="nil"/>
              <w:bottom w:val="single" w:color="auto" w:sz="4" w:space="0"/>
              <w:right w:val="single" w:color="auto" w:sz="4" w:space="0"/>
            </w:tcBorders>
            <w:shd w:val="clear" w:color="000000" w:fill="FFFFFF"/>
            <w:noWrap/>
            <w:vAlign w:val="center"/>
          </w:tcPr>
          <w:p w14:paraId="2E10170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充电桩状态显示</w:t>
            </w:r>
          </w:p>
          <w:p w14:paraId="198504D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（1分值）</w:t>
            </w:r>
          </w:p>
        </w:tc>
        <w:tc>
          <w:tcPr>
            <w:tcW w:w="5079" w:type="dxa"/>
            <w:tcBorders>
              <w:top w:val="nil"/>
              <w:left w:val="nil"/>
              <w:bottom w:val="single" w:color="auto" w:sz="4" w:space="0"/>
              <w:right w:val="single" w:color="auto" w:sz="4" w:space="0"/>
            </w:tcBorders>
            <w:shd w:val="clear" w:color="000000" w:fill="FFFFFF"/>
            <w:vAlign w:val="center"/>
          </w:tcPr>
          <w:p w14:paraId="0F540FF3">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APP/运营平台需能够实时显示充电场站内每台充电终端状态（空闲/充电中/故障等）。</w:t>
            </w:r>
          </w:p>
        </w:tc>
        <w:tc>
          <w:tcPr>
            <w:tcW w:w="3971" w:type="dxa"/>
            <w:gridSpan w:val="4"/>
            <w:tcBorders>
              <w:top w:val="nil"/>
              <w:left w:val="nil"/>
              <w:bottom w:val="single" w:color="auto" w:sz="4" w:space="0"/>
              <w:right w:val="single" w:color="auto" w:sz="4" w:space="0"/>
            </w:tcBorders>
            <w:shd w:val="clear" w:color="000000" w:fill="FFFFFF"/>
            <w:vAlign w:val="center"/>
          </w:tcPr>
          <w:p w14:paraId="7C3265F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不实时显示</w:t>
            </w:r>
          </w:p>
        </w:tc>
        <w:tc>
          <w:tcPr>
            <w:tcW w:w="1543" w:type="dxa"/>
            <w:tcBorders>
              <w:top w:val="nil"/>
              <w:left w:val="nil"/>
              <w:bottom w:val="single" w:color="auto" w:sz="4" w:space="0"/>
              <w:right w:val="single" w:color="auto" w:sz="4" w:space="0"/>
            </w:tcBorders>
            <w:shd w:val="clear" w:color="000000" w:fill="FFFFFF"/>
            <w:vAlign w:val="center"/>
          </w:tcPr>
          <w:p w14:paraId="133CCCA5">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实时显示</w:t>
            </w:r>
          </w:p>
        </w:tc>
      </w:tr>
      <w:tr w14:paraId="363E6622">
        <w:tblPrEx>
          <w:tblCellMar>
            <w:top w:w="0" w:type="dxa"/>
            <w:left w:w="108" w:type="dxa"/>
            <w:bottom w:w="0" w:type="dxa"/>
            <w:right w:w="108" w:type="dxa"/>
          </w:tblCellMar>
        </w:tblPrEx>
        <w:trPr>
          <w:trHeight w:val="1839" w:hRule="atLeast"/>
          <w:jc w:val="center"/>
        </w:trPr>
        <w:tc>
          <w:tcPr>
            <w:tcW w:w="1187" w:type="dxa"/>
            <w:vMerge w:val="continue"/>
            <w:tcBorders>
              <w:top w:val="nil"/>
              <w:left w:val="single" w:color="auto" w:sz="4" w:space="0"/>
              <w:bottom w:val="single" w:color="000000" w:sz="4" w:space="0"/>
              <w:right w:val="single" w:color="auto" w:sz="4" w:space="0"/>
            </w:tcBorders>
            <w:vAlign w:val="center"/>
          </w:tcPr>
          <w:p w14:paraId="6B7A7568">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rPr>
            </w:pPr>
          </w:p>
        </w:tc>
        <w:tc>
          <w:tcPr>
            <w:tcW w:w="1955" w:type="dxa"/>
            <w:tcBorders>
              <w:top w:val="nil"/>
              <w:left w:val="nil"/>
              <w:bottom w:val="single" w:color="auto" w:sz="4" w:space="0"/>
              <w:right w:val="single" w:color="auto" w:sz="4" w:space="0"/>
            </w:tcBorders>
            <w:shd w:val="clear" w:color="000000" w:fill="FFFFFF"/>
            <w:noWrap/>
            <w:vAlign w:val="center"/>
          </w:tcPr>
          <w:p w14:paraId="7823116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设备保养</w:t>
            </w:r>
          </w:p>
          <w:p w14:paraId="3728F10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（5分值）</w:t>
            </w:r>
          </w:p>
        </w:tc>
        <w:tc>
          <w:tcPr>
            <w:tcW w:w="5079" w:type="dxa"/>
            <w:tcBorders>
              <w:top w:val="nil"/>
              <w:left w:val="nil"/>
              <w:bottom w:val="single" w:color="auto" w:sz="4" w:space="0"/>
              <w:right w:val="single" w:color="auto" w:sz="4" w:space="0"/>
            </w:tcBorders>
            <w:shd w:val="clear" w:color="000000" w:fill="FFFFFF"/>
            <w:vAlign w:val="center"/>
          </w:tcPr>
          <w:p w14:paraId="4BFA3B02">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充电设备、充电枪、电缆、液晶屏、配电柜、车挡等配套设施外观整洁，无可见破损，电缆与枪头、主机连接处完好，无可见破损。</w:t>
            </w:r>
          </w:p>
        </w:tc>
        <w:tc>
          <w:tcPr>
            <w:tcW w:w="965" w:type="dxa"/>
            <w:tcBorders>
              <w:top w:val="nil"/>
              <w:left w:val="nil"/>
              <w:bottom w:val="single" w:color="auto" w:sz="4" w:space="0"/>
              <w:right w:val="single" w:color="auto" w:sz="4" w:space="0"/>
            </w:tcBorders>
            <w:shd w:val="clear" w:color="000000" w:fill="FFFFFF"/>
            <w:vAlign w:val="center"/>
          </w:tcPr>
          <w:p w14:paraId="1E70F1B3">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设备多处损坏且未贴提醒标识</w:t>
            </w:r>
          </w:p>
        </w:tc>
        <w:tc>
          <w:tcPr>
            <w:tcW w:w="1015" w:type="dxa"/>
            <w:tcBorders>
              <w:top w:val="nil"/>
              <w:left w:val="nil"/>
              <w:bottom w:val="single" w:color="auto" w:sz="4" w:space="0"/>
              <w:right w:val="single" w:color="auto" w:sz="4" w:space="0"/>
            </w:tcBorders>
            <w:shd w:val="clear" w:color="000000" w:fill="FFFFFF"/>
            <w:vAlign w:val="center"/>
          </w:tcPr>
          <w:p w14:paraId="4DCC7B3C">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有轻微破损</w:t>
            </w:r>
          </w:p>
        </w:tc>
        <w:tc>
          <w:tcPr>
            <w:tcW w:w="968" w:type="dxa"/>
            <w:tcBorders>
              <w:top w:val="nil"/>
              <w:left w:val="nil"/>
              <w:bottom w:val="single" w:color="auto" w:sz="4" w:space="0"/>
              <w:right w:val="single" w:color="auto" w:sz="4" w:space="0"/>
            </w:tcBorders>
            <w:shd w:val="clear" w:color="000000" w:fill="FFFFFF"/>
            <w:vAlign w:val="center"/>
          </w:tcPr>
          <w:p w14:paraId="44CE6C6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无破损但充电接口锁止故障</w:t>
            </w:r>
          </w:p>
        </w:tc>
        <w:tc>
          <w:tcPr>
            <w:tcW w:w="1023" w:type="dxa"/>
            <w:tcBorders>
              <w:top w:val="nil"/>
              <w:left w:val="nil"/>
              <w:bottom w:val="single" w:color="auto" w:sz="4" w:space="0"/>
              <w:right w:val="single" w:color="auto" w:sz="4" w:space="0"/>
            </w:tcBorders>
            <w:shd w:val="clear" w:color="000000" w:fill="FFFFFF"/>
            <w:vAlign w:val="center"/>
          </w:tcPr>
          <w:p w14:paraId="3FB2C60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无破损但外观不整洁</w:t>
            </w:r>
          </w:p>
        </w:tc>
        <w:tc>
          <w:tcPr>
            <w:tcW w:w="1543" w:type="dxa"/>
            <w:tcBorders>
              <w:top w:val="nil"/>
              <w:left w:val="nil"/>
              <w:bottom w:val="single" w:color="auto" w:sz="4" w:space="0"/>
              <w:right w:val="single" w:color="auto" w:sz="4" w:space="0"/>
            </w:tcBorders>
            <w:shd w:val="clear" w:color="000000" w:fill="FFFFFF"/>
            <w:vAlign w:val="center"/>
          </w:tcPr>
          <w:p w14:paraId="7E21118C">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一切正常</w:t>
            </w:r>
          </w:p>
        </w:tc>
      </w:tr>
      <w:tr w14:paraId="081858B5">
        <w:tblPrEx>
          <w:tblCellMar>
            <w:top w:w="0" w:type="dxa"/>
            <w:left w:w="108" w:type="dxa"/>
            <w:bottom w:w="0" w:type="dxa"/>
            <w:right w:w="108" w:type="dxa"/>
          </w:tblCellMar>
        </w:tblPrEx>
        <w:trPr>
          <w:trHeight w:val="1476" w:hRule="atLeast"/>
          <w:jc w:val="center"/>
        </w:trPr>
        <w:tc>
          <w:tcPr>
            <w:tcW w:w="1187" w:type="dxa"/>
            <w:tcBorders>
              <w:top w:val="nil"/>
              <w:left w:val="single" w:color="auto" w:sz="4" w:space="0"/>
              <w:bottom w:val="single" w:color="000000" w:sz="4" w:space="0"/>
              <w:right w:val="single" w:color="auto" w:sz="4" w:space="0"/>
            </w:tcBorders>
            <w:shd w:val="clear" w:color="000000" w:fill="FFFFFF"/>
            <w:vAlign w:val="center"/>
          </w:tcPr>
          <w:p w14:paraId="440078A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bookmarkStart w:id="28" w:name="OLE_LINK16"/>
            <w:r>
              <w:rPr>
                <w:rFonts w:hint="default" w:ascii="Times New Roman" w:hAnsi="Times New Roman" w:eastAsia="宋体" w:cs="Times New Roman"/>
                <w:color w:val="auto"/>
                <w:kern w:val="0"/>
                <w:szCs w:val="21"/>
                <w:lang w:val="en-US" w:eastAsia="zh-CN"/>
              </w:rPr>
              <w:t>故</w:t>
            </w:r>
            <w:r>
              <w:rPr>
                <w:rFonts w:hint="default" w:ascii="Times New Roman" w:hAnsi="Times New Roman" w:eastAsia="宋体" w:cs="Times New Roman"/>
                <w:color w:val="auto"/>
                <w:kern w:val="0"/>
                <w:szCs w:val="21"/>
              </w:rPr>
              <w:t>障维修（1</w:t>
            </w:r>
            <w:r>
              <w:rPr>
                <w:rFonts w:hint="default" w:ascii="Times New Roman" w:hAnsi="Times New Roman" w:eastAsia="宋体" w:cs="Times New Roman"/>
                <w:color w:val="auto"/>
                <w:kern w:val="0"/>
                <w:szCs w:val="21"/>
                <w:lang w:val="en-US" w:eastAsia="zh-CN"/>
              </w:rPr>
              <w:t>0</w:t>
            </w:r>
            <w:r>
              <w:rPr>
                <w:rFonts w:hint="default" w:ascii="Times New Roman" w:hAnsi="Times New Roman" w:eastAsia="宋体" w:cs="Times New Roman"/>
                <w:color w:val="auto"/>
                <w:kern w:val="0"/>
                <w:szCs w:val="21"/>
              </w:rPr>
              <w:t>分值）</w:t>
            </w:r>
            <w:bookmarkEnd w:id="28"/>
          </w:p>
        </w:tc>
        <w:tc>
          <w:tcPr>
            <w:tcW w:w="1955" w:type="dxa"/>
            <w:tcBorders>
              <w:top w:val="nil"/>
              <w:left w:val="nil"/>
              <w:bottom w:val="single" w:color="auto" w:sz="4" w:space="0"/>
              <w:right w:val="single" w:color="auto" w:sz="4" w:space="0"/>
            </w:tcBorders>
            <w:shd w:val="clear" w:color="000000" w:fill="FFFFFF"/>
            <w:noWrap/>
            <w:vAlign w:val="center"/>
          </w:tcPr>
          <w:p w14:paraId="4F6FD11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故障率</w:t>
            </w:r>
          </w:p>
          <w:p w14:paraId="29C5534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w:t>
            </w:r>
            <w:r>
              <w:rPr>
                <w:rFonts w:hint="default" w:ascii="Times New Roman" w:hAnsi="Times New Roman" w:eastAsia="宋体" w:cs="Times New Roman"/>
                <w:color w:val="auto"/>
                <w:kern w:val="0"/>
                <w:szCs w:val="21"/>
                <w:lang w:val="en-US" w:eastAsia="zh-CN"/>
              </w:rPr>
              <w:t>4</w:t>
            </w:r>
            <w:r>
              <w:rPr>
                <w:rFonts w:hint="default" w:ascii="Times New Roman" w:hAnsi="Times New Roman" w:eastAsia="宋体" w:cs="Times New Roman"/>
                <w:color w:val="auto"/>
                <w:kern w:val="0"/>
                <w:szCs w:val="21"/>
              </w:rPr>
              <w:t>分值）</w:t>
            </w:r>
          </w:p>
        </w:tc>
        <w:tc>
          <w:tcPr>
            <w:tcW w:w="5079" w:type="dxa"/>
            <w:tcBorders>
              <w:top w:val="nil"/>
              <w:left w:val="nil"/>
              <w:bottom w:val="single" w:color="auto" w:sz="4" w:space="0"/>
              <w:right w:val="single" w:color="auto" w:sz="4" w:space="0"/>
            </w:tcBorders>
            <w:shd w:val="clear" w:color="000000" w:fill="FFFFFF"/>
            <w:vAlign w:val="center"/>
          </w:tcPr>
          <w:p w14:paraId="734231FD">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考核周期内，各站点充电设施故障率M=（站点内设施故障总时长/站点内设施在线总时长）×100%。指充电设施不能提供服务的时间占总运营时间的比率，表征充电设备在一定时间内使用的稳定性。</w:t>
            </w:r>
          </w:p>
        </w:tc>
        <w:tc>
          <w:tcPr>
            <w:tcW w:w="965" w:type="dxa"/>
            <w:tcBorders>
              <w:top w:val="nil"/>
              <w:left w:val="nil"/>
              <w:bottom w:val="single" w:color="auto" w:sz="4" w:space="0"/>
              <w:right w:val="single" w:color="auto" w:sz="4" w:space="0"/>
            </w:tcBorders>
            <w:shd w:val="clear" w:color="000000" w:fill="FFFFFF"/>
            <w:vAlign w:val="center"/>
          </w:tcPr>
          <w:p w14:paraId="1E5709BF">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M＞4%</w:t>
            </w:r>
          </w:p>
        </w:tc>
        <w:tc>
          <w:tcPr>
            <w:tcW w:w="1015" w:type="dxa"/>
            <w:tcBorders>
              <w:top w:val="nil"/>
              <w:left w:val="nil"/>
              <w:bottom w:val="single" w:color="auto" w:sz="4" w:space="0"/>
              <w:right w:val="single" w:color="auto" w:sz="4" w:space="0"/>
            </w:tcBorders>
            <w:shd w:val="clear" w:color="000000" w:fill="FFFFFF"/>
            <w:vAlign w:val="center"/>
          </w:tcPr>
          <w:p w14:paraId="71DACF7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3%＜M≤4%</w:t>
            </w:r>
          </w:p>
        </w:tc>
        <w:tc>
          <w:tcPr>
            <w:tcW w:w="968" w:type="dxa"/>
            <w:tcBorders>
              <w:top w:val="nil"/>
              <w:left w:val="nil"/>
              <w:bottom w:val="single" w:color="auto" w:sz="4" w:space="0"/>
              <w:right w:val="single" w:color="auto" w:sz="4" w:space="0"/>
            </w:tcBorders>
            <w:shd w:val="clear" w:color="000000" w:fill="FFFFFF"/>
            <w:vAlign w:val="center"/>
          </w:tcPr>
          <w:p w14:paraId="1EEFBCD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2%＜M≤3%</w:t>
            </w:r>
          </w:p>
        </w:tc>
        <w:tc>
          <w:tcPr>
            <w:tcW w:w="1023" w:type="dxa"/>
            <w:tcBorders>
              <w:top w:val="nil"/>
              <w:left w:val="nil"/>
              <w:bottom w:val="single" w:color="auto" w:sz="4" w:space="0"/>
              <w:right w:val="single" w:color="auto" w:sz="4" w:space="0"/>
            </w:tcBorders>
            <w:shd w:val="clear" w:color="000000" w:fill="FFFFFF"/>
            <w:vAlign w:val="center"/>
          </w:tcPr>
          <w:p w14:paraId="0F6E3A2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1%＜M≤2%</w:t>
            </w:r>
          </w:p>
        </w:tc>
        <w:tc>
          <w:tcPr>
            <w:tcW w:w="1543" w:type="dxa"/>
            <w:tcBorders>
              <w:top w:val="nil"/>
              <w:left w:val="nil"/>
              <w:bottom w:val="single" w:color="auto" w:sz="4" w:space="0"/>
              <w:right w:val="single" w:color="auto" w:sz="4" w:space="0"/>
            </w:tcBorders>
            <w:shd w:val="clear" w:color="000000" w:fill="FFFFFF"/>
            <w:vAlign w:val="center"/>
          </w:tcPr>
          <w:p w14:paraId="1663EB1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M＜1%</w:t>
            </w:r>
          </w:p>
        </w:tc>
      </w:tr>
      <w:tr w14:paraId="033E569E">
        <w:tblPrEx>
          <w:tblCellMar>
            <w:top w:w="0" w:type="dxa"/>
            <w:left w:w="108" w:type="dxa"/>
            <w:bottom w:w="0" w:type="dxa"/>
            <w:right w:w="108" w:type="dxa"/>
          </w:tblCellMar>
        </w:tblPrEx>
        <w:trPr>
          <w:trHeight w:val="748" w:hRule="atLeast"/>
          <w:jc w:val="center"/>
        </w:trPr>
        <w:tc>
          <w:tcPr>
            <w:tcW w:w="1187" w:type="dxa"/>
            <w:vMerge w:val="restart"/>
            <w:tcBorders>
              <w:top w:val="nil"/>
              <w:left w:val="single" w:color="auto" w:sz="4" w:space="0"/>
              <w:right w:val="single" w:color="auto" w:sz="4" w:space="0"/>
            </w:tcBorders>
            <w:vAlign w:val="center"/>
          </w:tcPr>
          <w:p w14:paraId="6D6D4DA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val="en-US" w:eastAsia="zh-CN"/>
              </w:rPr>
              <w:t>故</w:t>
            </w:r>
            <w:r>
              <w:rPr>
                <w:rFonts w:hint="default" w:ascii="Times New Roman" w:hAnsi="Times New Roman" w:eastAsia="宋体" w:cs="Times New Roman"/>
                <w:color w:val="auto"/>
                <w:kern w:val="0"/>
                <w:szCs w:val="21"/>
              </w:rPr>
              <w:t>障维修（1</w:t>
            </w:r>
            <w:r>
              <w:rPr>
                <w:rFonts w:hint="default" w:ascii="Times New Roman" w:hAnsi="Times New Roman" w:eastAsia="宋体" w:cs="Times New Roman"/>
                <w:color w:val="auto"/>
                <w:kern w:val="0"/>
                <w:szCs w:val="21"/>
                <w:lang w:val="en-US" w:eastAsia="zh-CN"/>
              </w:rPr>
              <w:t>0</w:t>
            </w:r>
            <w:r>
              <w:rPr>
                <w:rFonts w:hint="default" w:ascii="Times New Roman" w:hAnsi="Times New Roman" w:eastAsia="宋体" w:cs="Times New Roman"/>
                <w:color w:val="auto"/>
                <w:kern w:val="0"/>
                <w:szCs w:val="21"/>
              </w:rPr>
              <w:t>分值）</w:t>
            </w:r>
          </w:p>
        </w:tc>
        <w:tc>
          <w:tcPr>
            <w:tcW w:w="1955" w:type="dxa"/>
            <w:tcBorders>
              <w:top w:val="nil"/>
              <w:left w:val="nil"/>
              <w:bottom w:val="single" w:color="auto" w:sz="4" w:space="0"/>
              <w:right w:val="single" w:color="auto" w:sz="4" w:space="0"/>
            </w:tcBorders>
            <w:shd w:val="clear" w:color="000000" w:fill="FFFFFF"/>
            <w:noWrap/>
            <w:vAlign w:val="center"/>
          </w:tcPr>
          <w:p w14:paraId="66EDEF8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故障修复时效</w:t>
            </w:r>
          </w:p>
          <w:p w14:paraId="01988BA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w:t>
            </w:r>
            <w:r>
              <w:rPr>
                <w:rFonts w:hint="default" w:ascii="Times New Roman" w:hAnsi="Times New Roman" w:eastAsia="宋体" w:cs="Times New Roman"/>
                <w:color w:val="auto"/>
                <w:kern w:val="0"/>
                <w:szCs w:val="21"/>
                <w:lang w:val="en-US" w:eastAsia="zh-CN"/>
              </w:rPr>
              <w:t>3</w:t>
            </w:r>
            <w:r>
              <w:rPr>
                <w:rFonts w:hint="default" w:ascii="Times New Roman" w:hAnsi="Times New Roman" w:eastAsia="宋体" w:cs="Times New Roman"/>
                <w:color w:val="auto"/>
                <w:kern w:val="0"/>
                <w:szCs w:val="21"/>
              </w:rPr>
              <w:t>分值）</w:t>
            </w:r>
          </w:p>
        </w:tc>
        <w:tc>
          <w:tcPr>
            <w:tcW w:w="5079" w:type="dxa"/>
            <w:tcBorders>
              <w:top w:val="nil"/>
              <w:left w:val="nil"/>
              <w:bottom w:val="single" w:color="auto" w:sz="4" w:space="0"/>
              <w:right w:val="single" w:color="auto" w:sz="4" w:space="0"/>
            </w:tcBorders>
            <w:shd w:val="clear" w:color="000000" w:fill="FFFFFF"/>
            <w:vAlign w:val="center"/>
          </w:tcPr>
          <w:p w14:paraId="4B13F737">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lang w:eastAsia="zh-CN"/>
              </w:rPr>
            </w:pPr>
            <w:bookmarkStart w:id="29" w:name="OLE_LINK129"/>
            <w:r>
              <w:rPr>
                <w:rFonts w:hint="default" w:ascii="Times New Roman" w:hAnsi="Times New Roman" w:eastAsia="宋体" w:cs="Times New Roman"/>
                <w:color w:val="auto"/>
                <w:kern w:val="0"/>
                <w:szCs w:val="21"/>
              </w:rPr>
              <w:t>月平均故障修复时间。</w:t>
            </w:r>
            <w:bookmarkEnd w:id="29"/>
          </w:p>
        </w:tc>
        <w:tc>
          <w:tcPr>
            <w:tcW w:w="965" w:type="dxa"/>
            <w:tcBorders>
              <w:top w:val="nil"/>
              <w:left w:val="nil"/>
              <w:bottom w:val="single" w:color="auto" w:sz="4" w:space="0"/>
              <w:right w:val="single" w:color="auto" w:sz="4" w:space="0"/>
            </w:tcBorders>
            <w:shd w:val="clear" w:color="000000" w:fill="FFFFFF"/>
            <w:vAlign w:val="center"/>
          </w:tcPr>
          <w:p w14:paraId="752ED0B3">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超过7天</w:t>
            </w:r>
          </w:p>
        </w:tc>
        <w:tc>
          <w:tcPr>
            <w:tcW w:w="1015" w:type="dxa"/>
            <w:tcBorders>
              <w:top w:val="nil"/>
              <w:left w:val="nil"/>
              <w:bottom w:val="single" w:color="auto" w:sz="4" w:space="0"/>
              <w:right w:val="single" w:color="auto" w:sz="4" w:space="0"/>
            </w:tcBorders>
            <w:shd w:val="clear" w:color="000000" w:fill="FFFFFF"/>
            <w:vAlign w:val="center"/>
          </w:tcPr>
          <w:p w14:paraId="6C3151A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7天以内</w:t>
            </w:r>
          </w:p>
        </w:tc>
        <w:tc>
          <w:tcPr>
            <w:tcW w:w="968" w:type="dxa"/>
            <w:tcBorders>
              <w:top w:val="nil"/>
              <w:left w:val="nil"/>
              <w:bottom w:val="single" w:color="auto" w:sz="4" w:space="0"/>
              <w:right w:val="single" w:color="auto" w:sz="4" w:space="0"/>
            </w:tcBorders>
            <w:shd w:val="clear" w:color="000000" w:fill="FFFFFF"/>
            <w:vAlign w:val="center"/>
          </w:tcPr>
          <w:p w14:paraId="78F65E24">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72小时以内</w:t>
            </w:r>
          </w:p>
        </w:tc>
        <w:tc>
          <w:tcPr>
            <w:tcW w:w="1023" w:type="dxa"/>
            <w:tcBorders>
              <w:top w:val="nil"/>
              <w:left w:val="nil"/>
              <w:bottom w:val="single" w:color="auto" w:sz="4" w:space="0"/>
              <w:right w:val="single" w:color="auto" w:sz="4" w:space="0"/>
            </w:tcBorders>
            <w:shd w:val="clear" w:color="000000" w:fill="FFFFFF"/>
            <w:vAlign w:val="center"/>
          </w:tcPr>
          <w:p w14:paraId="4D72232F">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48小时以内</w:t>
            </w:r>
          </w:p>
        </w:tc>
        <w:tc>
          <w:tcPr>
            <w:tcW w:w="1543" w:type="dxa"/>
            <w:tcBorders>
              <w:top w:val="nil"/>
              <w:left w:val="nil"/>
              <w:bottom w:val="single" w:color="auto" w:sz="4" w:space="0"/>
              <w:right w:val="single" w:color="auto" w:sz="4" w:space="0"/>
            </w:tcBorders>
            <w:shd w:val="clear" w:color="000000" w:fill="FFFFFF"/>
            <w:vAlign w:val="center"/>
          </w:tcPr>
          <w:p w14:paraId="628DECEC">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val="en-US" w:eastAsia="zh-CN"/>
              </w:rPr>
              <w:t>24小时以内</w:t>
            </w:r>
          </w:p>
        </w:tc>
      </w:tr>
      <w:tr w14:paraId="017C9FF1">
        <w:tblPrEx>
          <w:tblCellMar>
            <w:top w:w="0" w:type="dxa"/>
            <w:left w:w="108" w:type="dxa"/>
            <w:bottom w:w="0" w:type="dxa"/>
            <w:right w:w="108" w:type="dxa"/>
          </w:tblCellMar>
        </w:tblPrEx>
        <w:trPr>
          <w:trHeight w:val="1395" w:hRule="atLeast"/>
          <w:jc w:val="center"/>
        </w:trPr>
        <w:tc>
          <w:tcPr>
            <w:tcW w:w="1187" w:type="dxa"/>
            <w:vMerge w:val="continue"/>
            <w:tcBorders>
              <w:left w:val="single" w:color="auto" w:sz="4" w:space="0"/>
              <w:bottom w:val="nil"/>
              <w:right w:val="single" w:color="auto" w:sz="4" w:space="0"/>
            </w:tcBorders>
            <w:vAlign w:val="center"/>
          </w:tcPr>
          <w:p w14:paraId="500CC938">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rPr>
            </w:pPr>
          </w:p>
        </w:tc>
        <w:tc>
          <w:tcPr>
            <w:tcW w:w="1955" w:type="dxa"/>
            <w:tcBorders>
              <w:top w:val="nil"/>
              <w:left w:val="nil"/>
              <w:bottom w:val="single" w:color="auto" w:sz="4" w:space="0"/>
              <w:right w:val="single" w:color="auto" w:sz="4" w:space="0"/>
            </w:tcBorders>
            <w:shd w:val="clear" w:color="000000" w:fill="FFFFFF"/>
            <w:noWrap/>
            <w:vAlign w:val="center"/>
          </w:tcPr>
          <w:p w14:paraId="3385496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维修保养频率</w:t>
            </w:r>
          </w:p>
          <w:p w14:paraId="2D2E50A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w:t>
            </w:r>
            <w:r>
              <w:rPr>
                <w:rFonts w:hint="default" w:ascii="Times New Roman" w:hAnsi="Times New Roman" w:eastAsia="宋体" w:cs="Times New Roman"/>
                <w:color w:val="auto"/>
                <w:kern w:val="0"/>
                <w:szCs w:val="21"/>
                <w:lang w:val="en-US" w:eastAsia="zh-CN"/>
              </w:rPr>
              <w:t>3</w:t>
            </w:r>
            <w:r>
              <w:rPr>
                <w:rFonts w:hint="default" w:ascii="Times New Roman" w:hAnsi="Times New Roman" w:eastAsia="宋体" w:cs="Times New Roman"/>
                <w:color w:val="auto"/>
                <w:kern w:val="0"/>
                <w:szCs w:val="21"/>
              </w:rPr>
              <w:t>分值）</w:t>
            </w:r>
          </w:p>
        </w:tc>
        <w:tc>
          <w:tcPr>
            <w:tcW w:w="5079" w:type="dxa"/>
            <w:tcBorders>
              <w:top w:val="nil"/>
              <w:left w:val="nil"/>
              <w:bottom w:val="single" w:color="auto" w:sz="4" w:space="0"/>
              <w:right w:val="single" w:color="auto" w:sz="4" w:space="0"/>
            </w:tcBorders>
            <w:shd w:val="clear" w:color="000000" w:fill="FFFFFF"/>
            <w:vAlign w:val="center"/>
          </w:tcPr>
          <w:p w14:paraId="3DE9179B">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bookmarkStart w:id="30" w:name="OLE_LINK130"/>
            <w:r>
              <w:rPr>
                <w:rFonts w:hint="default" w:ascii="Times New Roman" w:hAnsi="Times New Roman" w:eastAsia="宋体" w:cs="Times New Roman"/>
                <w:color w:val="auto"/>
                <w:kern w:val="0"/>
                <w:szCs w:val="21"/>
              </w:rPr>
              <w:t>巡检记录</w:t>
            </w:r>
            <w:r>
              <w:rPr>
                <w:rFonts w:hint="default" w:ascii="Times New Roman" w:hAnsi="Times New Roman" w:eastAsia="宋体" w:cs="Times New Roman"/>
                <w:color w:val="auto"/>
                <w:kern w:val="0"/>
                <w:szCs w:val="21"/>
                <w:lang w:val="en-US" w:eastAsia="zh-CN"/>
              </w:rPr>
              <w:t>宜保留</w:t>
            </w:r>
            <w:bookmarkStart w:id="31" w:name="OLE_LINK43"/>
            <w:r>
              <w:rPr>
                <w:rFonts w:hint="default" w:ascii="Times New Roman" w:hAnsi="Times New Roman" w:eastAsia="宋体" w:cs="Times New Roman"/>
                <w:color w:val="auto"/>
                <w:kern w:val="0"/>
                <w:szCs w:val="21"/>
                <w:lang w:val="en-US" w:eastAsia="zh-CN"/>
              </w:rPr>
              <w:t>线上</w:t>
            </w:r>
            <w:bookmarkEnd w:id="31"/>
            <w:r>
              <w:rPr>
                <w:rFonts w:hint="default" w:ascii="Times New Roman" w:hAnsi="Times New Roman" w:eastAsia="宋体" w:cs="Times New Roman"/>
                <w:color w:val="auto"/>
                <w:kern w:val="0"/>
                <w:szCs w:val="21"/>
                <w:lang w:val="en-US" w:eastAsia="zh-CN"/>
              </w:rPr>
              <w:t>系统留痕</w:t>
            </w:r>
            <w:r>
              <w:rPr>
                <w:rFonts w:hint="default" w:ascii="Times New Roman" w:hAnsi="Times New Roman" w:eastAsia="宋体" w:cs="Times New Roman"/>
                <w:color w:val="auto"/>
                <w:kern w:val="0"/>
                <w:szCs w:val="21"/>
              </w:rPr>
              <w:t>，巡检内容可参考直流桩巡检指导文件，至少包括外观清理、内部清灰、枪线检查等。</w:t>
            </w:r>
            <w:bookmarkEnd w:id="30"/>
          </w:p>
        </w:tc>
        <w:tc>
          <w:tcPr>
            <w:tcW w:w="1980" w:type="dxa"/>
            <w:gridSpan w:val="2"/>
            <w:tcBorders>
              <w:top w:val="nil"/>
              <w:left w:val="nil"/>
              <w:bottom w:val="single" w:color="auto" w:sz="4" w:space="0"/>
              <w:right w:val="single" w:color="auto" w:sz="4" w:space="0"/>
            </w:tcBorders>
            <w:shd w:val="clear" w:color="000000" w:fill="FFFFFF"/>
            <w:vAlign w:val="center"/>
          </w:tcPr>
          <w:p w14:paraId="7E8C41F4">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无记录</w:t>
            </w:r>
            <w:r>
              <w:rPr>
                <w:rFonts w:hint="default" w:ascii="Times New Roman" w:hAnsi="Times New Roman" w:eastAsia="宋体" w:cs="Times New Roman"/>
                <w:color w:val="auto"/>
                <w:kern w:val="0"/>
                <w:szCs w:val="21"/>
                <w:lang w:val="en-US" w:eastAsia="zh-CN"/>
              </w:rPr>
              <w:t>或巡检周期超过半年</w:t>
            </w:r>
          </w:p>
        </w:tc>
        <w:tc>
          <w:tcPr>
            <w:tcW w:w="968" w:type="dxa"/>
            <w:tcBorders>
              <w:top w:val="nil"/>
              <w:left w:val="nil"/>
              <w:bottom w:val="single" w:color="auto" w:sz="4" w:space="0"/>
              <w:right w:val="single" w:color="auto" w:sz="4" w:space="0"/>
            </w:tcBorders>
            <w:shd w:val="clear" w:color="000000" w:fill="FFFFFF"/>
            <w:vAlign w:val="center"/>
          </w:tcPr>
          <w:p w14:paraId="7DD7A5B6">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每半年一次</w:t>
            </w:r>
          </w:p>
        </w:tc>
        <w:tc>
          <w:tcPr>
            <w:tcW w:w="1023" w:type="dxa"/>
            <w:tcBorders>
              <w:top w:val="nil"/>
              <w:left w:val="nil"/>
              <w:bottom w:val="single" w:color="auto" w:sz="4" w:space="0"/>
              <w:right w:val="single" w:color="auto" w:sz="4" w:space="0"/>
            </w:tcBorders>
            <w:shd w:val="clear" w:color="000000" w:fill="FFFFFF"/>
            <w:vAlign w:val="center"/>
          </w:tcPr>
          <w:p w14:paraId="43B6667C">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每季度</w:t>
            </w:r>
            <w:r>
              <w:rPr>
                <w:rFonts w:hint="default" w:ascii="Times New Roman" w:hAnsi="Times New Roman" w:eastAsia="宋体" w:cs="Times New Roman"/>
                <w:color w:val="auto"/>
                <w:kern w:val="0"/>
                <w:szCs w:val="21"/>
                <w:lang w:val="en-US" w:eastAsia="zh-CN"/>
              </w:rPr>
              <w:t>至少</w:t>
            </w:r>
            <w:r>
              <w:rPr>
                <w:rFonts w:hint="default" w:ascii="Times New Roman" w:hAnsi="Times New Roman" w:eastAsia="宋体" w:cs="Times New Roman"/>
                <w:color w:val="auto"/>
                <w:kern w:val="0"/>
                <w:szCs w:val="21"/>
              </w:rPr>
              <w:t>一次</w:t>
            </w:r>
          </w:p>
        </w:tc>
        <w:tc>
          <w:tcPr>
            <w:tcW w:w="1543" w:type="dxa"/>
            <w:tcBorders>
              <w:top w:val="nil"/>
              <w:left w:val="nil"/>
              <w:bottom w:val="single" w:color="auto" w:sz="4" w:space="0"/>
              <w:right w:val="single" w:color="auto" w:sz="4" w:space="0"/>
            </w:tcBorders>
            <w:shd w:val="clear" w:color="000000" w:fill="FFFFFF"/>
            <w:vAlign w:val="center"/>
          </w:tcPr>
          <w:p w14:paraId="1C8339D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每季度</w:t>
            </w:r>
            <w:r>
              <w:rPr>
                <w:rFonts w:hint="default" w:ascii="Times New Roman" w:hAnsi="Times New Roman" w:eastAsia="宋体" w:cs="Times New Roman"/>
                <w:color w:val="auto"/>
                <w:kern w:val="0"/>
                <w:szCs w:val="21"/>
                <w:lang w:val="en-US" w:eastAsia="zh-CN"/>
              </w:rPr>
              <w:t>至少</w:t>
            </w:r>
            <w:r>
              <w:rPr>
                <w:rFonts w:hint="default" w:ascii="Times New Roman" w:hAnsi="Times New Roman" w:eastAsia="宋体" w:cs="Times New Roman"/>
                <w:color w:val="auto"/>
                <w:kern w:val="0"/>
                <w:szCs w:val="21"/>
              </w:rPr>
              <w:t>一次</w:t>
            </w:r>
            <w:r>
              <w:rPr>
                <w:rFonts w:hint="default" w:ascii="Times New Roman" w:hAnsi="Times New Roman" w:eastAsia="宋体" w:cs="Times New Roman"/>
                <w:color w:val="auto"/>
                <w:kern w:val="0"/>
                <w:szCs w:val="21"/>
                <w:lang w:val="en-US" w:eastAsia="zh-CN"/>
              </w:rPr>
              <w:t>且有线上系统留痕</w:t>
            </w:r>
          </w:p>
        </w:tc>
      </w:tr>
    </w:tbl>
    <w:p w14:paraId="5820036B">
      <w:pPr>
        <w:keepLines w:val="0"/>
        <w:pageBreakBefore w:val="0"/>
        <w:kinsoku/>
        <w:wordWrap/>
        <w:overflowPunct/>
        <w:topLinePunct w:val="0"/>
        <w:bidi w:val="0"/>
        <w:adjustRightInd/>
        <w:snapToGrid/>
        <w:ind w:firstLine="0" w:firstLineChars="0"/>
        <w:rPr>
          <w:rFonts w:hint="default" w:ascii="Times New Roman" w:hAnsi="Times New Roman" w:cs="Times New Roman"/>
          <w:color w:val="auto"/>
        </w:rPr>
      </w:pPr>
      <w:bookmarkStart w:id="32" w:name="_Toc135521537"/>
      <w:bookmarkStart w:id="33" w:name="_Toc135417383"/>
      <w:bookmarkStart w:id="34" w:name="_Toc135644298"/>
      <w:r>
        <w:rPr>
          <w:rFonts w:hint="default" w:ascii="Times New Roman" w:hAnsi="Times New Roman" w:cs="Times New Roman"/>
          <w:color w:val="auto"/>
        </w:rPr>
        <w:br w:type="page"/>
      </w:r>
    </w:p>
    <w:bookmarkEnd w:id="32"/>
    <w:bookmarkEnd w:id="33"/>
    <w:bookmarkEnd w:id="34"/>
    <w:tbl>
      <w:tblPr>
        <w:tblStyle w:val="3"/>
        <w:tblW w:w="13959" w:type="dxa"/>
        <w:jc w:val="center"/>
        <w:tblLayout w:type="fixed"/>
        <w:tblCellMar>
          <w:top w:w="0" w:type="dxa"/>
          <w:left w:w="108" w:type="dxa"/>
          <w:bottom w:w="0" w:type="dxa"/>
          <w:right w:w="108" w:type="dxa"/>
        </w:tblCellMar>
      </w:tblPr>
      <w:tblGrid>
        <w:gridCol w:w="1141"/>
        <w:gridCol w:w="1955"/>
        <w:gridCol w:w="4872"/>
        <w:gridCol w:w="1271"/>
        <w:gridCol w:w="1246"/>
        <w:gridCol w:w="1170"/>
        <w:gridCol w:w="1240"/>
        <w:gridCol w:w="1064"/>
      </w:tblGrid>
      <w:tr w14:paraId="03A47745">
        <w:tblPrEx>
          <w:tblCellMar>
            <w:top w:w="0" w:type="dxa"/>
            <w:left w:w="108" w:type="dxa"/>
            <w:bottom w:w="0" w:type="dxa"/>
            <w:right w:w="108" w:type="dxa"/>
          </w:tblCellMar>
        </w:tblPrEx>
        <w:trPr>
          <w:trHeight w:val="90" w:hRule="atLeast"/>
          <w:tblHeader/>
          <w:jc w:val="center"/>
        </w:trPr>
        <w:tc>
          <w:tcPr>
            <w:tcW w:w="7968" w:type="dxa"/>
            <w:gridSpan w:val="3"/>
            <w:tcBorders>
              <w:top w:val="single" w:color="auto" w:sz="4" w:space="0"/>
              <w:left w:val="single" w:color="auto" w:sz="4" w:space="0"/>
              <w:bottom w:val="single" w:color="auto" w:sz="4" w:space="0"/>
              <w:right w:val="single" w:color="000000" w:sz="4" w:space="0"/>
            </w:tcBorders>
            <w:shd w:val="clear" w:color="000000" w:fill="FFFFFF"/>
            <w:noWrap/>
            <w:vAlign w:val="center"/>
          </w:tcPr>
          <w:p w14:paraId="3ACE53F3">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服务便利</w:t>
            </w:r>
          </w:p>
        </w:tc>
        <w:tc>
          <w:tcPr>
            <w:tcW w:w="5991" w:type="dxa"/>
            <w:gridSpan w:val="5"/>
            <w:tcBorders>
              <w:top w:val="single" w:color="auto" w:sz="4" w:space="0"/>
              <w:left w:val="single" w:color="auto" w:sz="4" w:space="0"/>
              <w:bottom w:val="single" w:color="auto" w:sz="4" w:space="0"/>
              <w:right w:val="single" w:color="000000" w:sz="4" w:space="0"/>
            </w:tcBorders>
            <w:shd w:val="clear" w:color="000000" w:fill="FFFFFF"/>
            <w:noWrap/>
            <w:vAlign w:val="center"/>
          </w:tcPr>
          <w:p w14:paraId="2E7CED9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分级评价</w:t>
            </w:r>
          </w:p>
        </w:tc>
      </w:tr>
      <w:tr w14:paraId="60EB5BE6">
        <w:tblPrEx>
          <w:tblCellMar>
            <w:top w:w="0" w:type="dxa"/>
            <w:left w:w="108" w:type="dxa"/>
            <w:bottom w:w="0" w:type="dxa"/>
            <w:right w:w="108" w:type="dxa"/>
          </w:tblCellMar>
        </w:tblPrEx>
        <w:trPr>
          <w:trHeight w:val="90" w:hRule="atLeast"/>
          <w:tblHeader/>
          <w:jc w:val="center"/>
        </w:trPr>
        <w:tc>
          <w:tcPr>
            <w:tcW w:w="1141" w:type="dxa"/>
            <w:tcBorders>
              <w:top w:val="nil"/>
              <w:left w:val="single" w:color="auto" w:sz="4" w:space="0"/>
              <w:bottom w:val="single" w:color="auto" w:sz="4" w:space="0"/>
              <w:right w:val="single" w:color="auto" w:sz="4" w:space="0"/>
            </w:tcBorders>
            <w:shd w:val="clear" w:color="000000" w:fill="FFFFFF"/>
            <w:vAlign w:val="center"/>
          </w:tcPr>
          <w:p w14:paraId="31A4115D">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一级指标</w:t>
            </w:r>
          </w:p>
        </w:tc>
        <w:tc>
          <w:tcPr>
            <w:tcW w:w="1955" w:type="dxa"/>
            <w:tcBorders>
              <w:top w:val="nil"/>
              <w:left w:val="nil"/>
              <w:bottom w:val="single" w:color="auto" w:sz="4" w:space="0"/>
              <w:right w:val="single" w:color="auto" w:sz="4" w:space="0"/>
            </w:tcBorders>
            <w:shd w:val="clear" w:color="000000" w:fill="FFFFFF"/>
            <w:noWrap/>
            <w:vAlign w:val="center"/>
          </w:tcPr>
          <w:p w14:paraId="5384495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二级指标</w:t>
            </w:r>
          </w:p>
        </w:tc>
        <w:tc>
          <w:tcPr>
            <w:tcW w:w="4872" w:type="dxa"/>
            <w:tcBorders>
              <w:top w:val="nil"/>
              <w:left w:val="nil"/>
              <w:bottom w:val="single" w:color="auto" w:sz="4" w:space="0"/>
              <w:right w:val="single" w:color="auto" w:sz="4" w:space="0"/>
            </w:tcBorders>
            <w:shd w:val="clear" w:color="000000" w:fill="FFFFFF"/>
            <w:vAlign w:val="center"/>
          </w:tcPr>
          <w:p w14:paraId="26F7535F">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说明</w:t>
            </w:r>
          </w:p>
        </w:tc>
        <w:tc>
          <w:tcPr>
            <w:tcW w:w="1271" w:type="dxa"/>
            <w:tcBorders>
              <w:top w:val="nil"/>
              <w:left w:val="nil"/>
              <w:bottom w:val="single" w:color="auto" w:sz="4" w:space="0"/>
              <w:right w:val="single" w:color="auto" w:sz="4" w:space="0"/>
            </w:tcBorders>
            <w:shd w:val="clear" w:color="000000" w:fill="FFFFFF"/>
            <w:vAlign w:val="center"/>
          </w:tcPr>
          <w:p w14:paraId="6ACB2C7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一级</w:t>
            </w:r>
          </w:p>
        </w:tc>
        <w:tc>
          <w:tcPr>
            <w:tcW w:w="1246" w:type="dxa"/>
            <w:tcBorders>
              <w:top w:val="nil"/>
              <w:left w:val="nil"/>
              <w:bottom w:val="single" w:color="auto" w:sz="4" w:space="0"/>
              <w:right w:val="single" w:color="auto" w:sz="4" w:space="0"/>
            </w:tcBorders>
            <w:shd w:val="clear" w:color="000000" w:fill="FFFFFF"/>
            <w:vAlign w:val="center"/>
          </w:tcPr>
          <w:p w14:paraId="0B6BE0E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二级</w:t>
            </w:r>
          </w:p>
        </w:tc>
        <w:tc>
          <w:tcPr>
            <w:tcW w:w="1170" w:type="dxa"/>
            <w:tcBorders>
              <w:top w:val="nil"/>
              <w:left w:val="nil"/>
              <w:bottom w:val="single" w:color="auto" w:sz="4" w:space="0"/>
              <w:right w:val="single" w:color="auto" w:sz="4" w:space="0"/>
            </w:tcBorders>
            <w:shd w:val="clear" w:color="000000" w:fill="FFFFFF"/>
            <w:vAlign w:val="center"/>
          </w:tcPr>
          <w:p w14:paraId="15D5E22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三级</w:t>
            </w:r>
          </w:p>
        </w:tc>
        <w:tc>
          <w:tcPr>
            <w:tcW w:w="1240" w:type="dxa"/>
            <w:tcBorders>
              <w:top w:val="nil"/>
              <w:left w:val="nil"/>
              <w:bottom w:val="single" w:color="auto" w:sz="4" w:space="0"/>
              <w:right w:val="single" w:color="auto" w:sz="4" w:space="0"/>
            </w:tcBorders>
            <w:shd w:val="clear" w:color="000000" w:fill="FFFFFF"/>
            <w:vAlign w:val="center"/>
          </w:tcPr>
          <w:p w14:paraId="5476967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四级</w:t>
            </w:r>
          </w:p>
        </w:tc>
        <w:tc>
          <w:tcPr>
            <w:tcW w:w="1064" w:type="dxa"/>
            <w:tcBorders>
              <w:top w:val="nil"/>
              <w:left w:val="nil"/>
              <w:bottom w:val="single" w:color="auto" w:sz="4" w:space="0"/>
              <w:right w:val="single" w:color="auto" w:sz="4" w:space="0"/>
            </w:tcBorders>
            <w:shd w:val="clear" w:color="000000" w:fill="FFFFFF"/>
            <w:vAlign w:val="center"/>
          </w:tcPr>
          <w:p w14:paraId="1B5ED7F6">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highlight w:val="none"/>
              </w:rPr>
            </w:pPr>
            <w:r>
              <w:rPr>
                <w:rFonts w:hint="default" w:ascii="Times New Roman" w:hAnsi="Times New Roman" w:eastAsia="宋体" w:cs="Times New Roman"/>
                <w:b/>
                <w:bCs/>
                <w:color w:val="auto"/>
                <w:kern w:val="0"/>
                <w:sz w:val="22"/>
                <w:szCs w:val="22"/>
                <w:highlight w:val="none"/>
              </w:rPr>
              <w:t>五级</w:t>
            </w:r>
          </w:p>
        </w:tc>
      </w:tr>
      <w:tr w14:paraId="2AD79D0B">
        <w:tblPrEx>
          <w:tblCellMar>
            <w:top w:w="0" w:type="dxa"/>
            <w:left w:w="108" w:type="dxa"/>
            <w:bottom w:w="0" w:type="dxa"/>
            <w:right w:w="108" w:type="dxa"/>
          </w:tblCellMar>
        </w:tblPrEx>
        <w:trPr>
          <w:trHeight w:val="1760" w:hRule="atLeast"/>
          <w:jc w:val="center"/>
        </w:trPr>
        <w:tc>
          <w:tcPr>
            <w:tcW w:w="1141" w:type="dxa"/>
            <w:vMerge w:val="restart"/>
            <w:tcBorders>
              <w:top w:val="nil"/>
              <w:left w:val="single" w:color="auto" w:sz="4" w:space="0"/>
              <w:right w:val="single" w:color="auto" w:sz="4" w:space="0"/>
            </w:tcBorders>
            <w:shd w:val="clear" w:color="000000" w:fill="FFFFFF"/>
            <w:vAlign w:val="center"/>
          </w:tcPr>
          <w:p w14:paraId="2082584E">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bookmarkStart w:id="35" w:name="OLE_LINK103"/>
            <w:r>
              <w:rPr>
                <w:rFonts w:hint="default" w:ascii="Times New Roman" w:hAnsi="Times New Roman" w:eastAsia="宋体" w:cs="Times New Roman"/>
                <w:color w:val="auto"/>
                <w:kern w:val="0"/>
                <w:szCs w:val="21"/>
                <w:highlight w:val="none"/>
              </w:rPr>
              <w:t>设施服务</w:t>
            </w:r>
          </w:p>
          <w:bookmarkEnd w:id="35"/>
          <w:p w14:paraId="13706B22">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32</w:t>
            </w:r>
            <w:r>
              <w:rPr>
                <w:rFonts w:hint="default" w:ascii="Times New Roman" w:hAnsi="Times New Roman" w:eastAsia="宋体" w:cs="Times New Roman"/>
                <w:color w:val="auto"/>
                <w:kern w:val="0"/>
                <w:szCs w:val="21"/>
                <w:highlight w:val="none"/>
              </w:rPr>
              <w:t>分值）</w:t>
            </w:r>
          </w:p>
        </w:tc>
        <w:tc>
          <w:tcPr>
            <w:tcW w:w="1955" w:type="dxa"/>
            <w:tcBorders>
              <w:top w:val="nil"/>
              <w:left w:val="nil"/>
              <w:bottom w:val="single" w:color="auto" w:sz="4" w:space="0"/>
              <w:right w:val="single" w:color="auto" w:sz="4" w:space="0"/>
            </w:tcBorders>
            <w:shd w:val="clear" w:color="000000" w:fill="FFFFFF"/>
            <w:noWrap/>
            <w:vAlign w:val="center"/>
          </w:tcPr>
          <w:p w14:paraId="2B949BA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开放时间</w:t>
            </w:r>
          </w:p>
          <w:p w14:paraId="58038F7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分值）</w:t>
            </w:r>
          </w:p>
        </w:tc>
        <w:tc>
          <w:tcPr>
            <w:tcW w:w="4872" w:type="dxa"/>
            <w:tcBorders>
              <w:top w:val="nil"/>
              <w:left w:val="nil"/>
              <w:bottom w:val="single" w:color="auto" w:sz="4" w:space="0"/>
              <w:right w:val="single" w:color="auto" w:sz="4" w:space="0"/>
            </w:tcBorders>
            <w:shd w:val="clear" w:color="000000" w:fill="FFFFFF"/>
            <w:vAlign w:val="center"/>
          </w:tcPr>
          <w:p w14:paraId="467C3685">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指充电场站面向所有社会车辆开放的营运时间，每日开放时间H（小时）。</w:t>
            </w:r>
          </w:p>
        </w:tc>
        <w:tc>
          <w:tcPr>
            <w:tcW w:w="1271" w:type="dxa"/>
            <w:tcBorders>
              <w:top w:val="nil"/>
              <w:left w:val="nil"/>
              <w:bottom w:val="single" w:color="auto" w:sz="4" w:space="0"/>
              <w:right w:val="single" w:color="auto" w:sz="4" w:space="0"/>
            </w:tcBorders>
            <w:shd w:val="clear" w:color="000000" w:fill="FFFFFF"/>
            <w:vAlign w:val="center"/>
          </w:tcPr>
          <w:p w14:paraId="661A357E">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H＜12或每周开放＜7天或节假日不开放</w:t>
            </w:r>
          </w:p>
        </w:tc>
        <w:tc>
          <w:tcPr>
            <w:tcW w:w="1246" w:type="dxa"/>
            <w:tcBorders>
              <w:top w:val="nil"/>
              <w:left w:val="nil"/>
              <w:bottom w:val="single" w:color="auto" w:sz="4" w:space="0"/>
              <w:right w:val="single" w:color="auto" w:sz="4" w:space="0"/>
            </w:tcBorders>
            <w:shd w:val="clear" w:color="000000" w:fill="FFFFFF"/>
            <w:vAlign w:val="center"/>
          </w:tcPr>
          <w:p w14:paraId="65190A3E">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12≤H＜20，每周开放7天,节假日正常开放</w:t>
            </w:r>
          </w:p>
        </w:tc>
        <w:tc>
          <w:tcPr>
            <w:tcW w:w="2410" w:type="dxa"/>
            <w:gridSpan w:val="2"/>
            <w:tcBorders>
              <w:top w:val="nil"/>
              <w:left w:val="nil"/>
              <w:bottom w:val="single" w:color="auto" w:sz="4" w:space="0"/>
              <w:right w:val="single" w:color="auto" w:sz="4" w:space="0"/>
            </w:tcBorders>
            <w:shd w:val="clear" w:color="000000" w:fill="FFFFFF"/>
            <w:vAlign w:val="center"/>
          </w:tcPr>
          <w:p w14:paraId="0E4B4947">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20≤H＜24，每周开放7天,节假日正常开放</w:t>
            </w:r>
          </w:p>
        </w:tc>
        <w:tc>
          <w:tcPr>
            <w:tcW w:w="1064" w:type="dxa"/>
            <w:tcBorders>
              <w:top w:val="nil"/>
              <w:left w:val="nil"/>
              <w:bottom w:val="single" w:color="auto" w:sz="4" w:space="0"/>
              <w:right w:val="single" w:color="auto" w:sz="4" w:space="0"/>
            </w:tcBorders>
            <w:shd w:val="clear" w:color="000000" w:fill="FFFFFF"/>
            <w:vAlign w:val="center"/>
          </w:tcPr>
          <w:p w14:paraId="5F4FD1CE">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H=24，每周开放7</w:t>
            </w:r>
          </w:p>
          <w:p w14:paraId="6AE64CD8">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天，节假日正常开放</w:t>
            </w:r>
          </w:p>
        </w:tc>
      </w:tr>
      <w:tr w14:paraId="2D9E9F3F">
        <w:tblPrEx>
          <w:tblCellMar>
            <w:top w:w="0" w:type="dxa"/>
            <w:left w:w="108" w:type="dxa"/>
            <w:bottom w:w="0" w:type="dxa"/>
            <w:right w:w="108" w:type="dxa"/>
          </w:tblCellMar>
        </w:tblPrEx>
        <w:trPr>
          <w:trHeight w:val="2100" w:hRule="atLeast"/>
          <w:jc w:val="center"/>
        </w:trPr>
        <w:tc>
          <w:tcPr>
            <w:tcW w:w="1141" w:type="dxa"/>
            <w:vMerge w:val="continue"/>
            <w:tcBorders>
              <w:left w:val="single" w:color="auto" w:sz="4" w:space="0"/>
              <w:right w:val="single" w:color="auto" w:sz="4" w:space="0"/>
            </w:tcBorders>
            <w:vAlign w:val="center"/>
          </w:tcPr>
          <w:p w14:paraId="2370BCC2">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bookmarkStart w:id="36" w:name="OLE_LINK7" w:colFirst="3" w:colLast="7"/>
            <w:bookmarkStart w:id="37" w:name="_Hlk200730638"/>
            <w:bookmarkStart w:id="38" w:name="OLE_LINK15" w:colFirst="3" w:colLast="3"/>
          </w:p>
        </w:tc>
        <w:tc>
          <w:tcPr>
            <w:tcW w:w="1955" w:type="dxa"/>
            <w:tcBorders>
              <w:top w:val="nil"/>
              <w:left w:val="nil"/>
              <w:bottom w:val="single" w:color="auto" w:sz="4" w:space="0"/>
              <w:right w:val="single" w:color="auto" w:sz="4" w:space="0"/>
            </w:tcBorders>
            <w:shd w:val="clear" w:color="000000" w:fill="FFFFFF"/>
            <w:noWrap/>
            <w:vAlign w:val="center"/>
          </w:tcPr>
          <w:p w14:paraId="67E485FD">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39" w:name="OLE_LINK45"/>
            <w:bookmarkStart w:id="40" w:name="_Hlk200730497"/>
            <w:r>
              <w:rPr>
                <w:rFonts w:hint="default" w:ascii="Times New Roman" w:hAnsi="Times New Roman" w:eastAsia="宋体" w:cs="Times New Roman"/>
                <w:color w:val="auto"/>
                <w:kern w:val="0"/>
                <w:szCs w:val="21"/>
                <w:highlight w:val="none"/>
              </w:rPr>
              <w:t>直流充电枪数量</w:t>
            </w:r>
          </w:p>
          <w:bookmarkEnd w:id="39"/>
          <w:p w14:paraId="40DD805D">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分值）</w:t>
            </w:r>
            <w:bookmarkEnd w:id="40"/>
          </w:p>
        </w:tc>
        <w:tc>
          <w:tcPr>
            <w:tcW w:w="4872" w:type="dxa"/>
            <w:tcBorders>
              <w:top w:val="nil"/>
              <w:left w:val="nil"/>
              <w:bottom w:val="single" w:color="auto" w:sz="4" w:space="0"/>
              <w:right w:val="single" w:color="auto" w:sz="4" w:space="0"/>
            </w:tcBorders>
            <w:shd w:val="clear" w:color="000000" w:fill="FFFFFF"/>
            <w:vAlign w:val="center"/>
          </w:tcPr>
          <w:p w14:paraId="242D7C72">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bookmarkStart w:id="41" w:name="OLE_LINK131"/>
            <w:r>
              <w:rPr>
                <w:rFonts w:hint="default" w:ascii="Times New Roman" w:hAnsi="Times New Roman" w:eastAsia="宋体" w:cs="Times New Roman"/>
                <w:color w:val="auto"/>
                <w:kern w:val="0"/>
                <w:szCs w:val="21"/>
                <w:highlight w:val="none"/>
              </w:rPr>
              <w:t>充电场站应有</w:t>
            </w:r>
            <w:bookmarkStart w:id="42" w:name="OLE_LINK5"/>
            <w:r>
              <w:rPr>
                <w:rFonts w:hint="default" w:ascii="Times New Roman" w:hAnsi="Times New Roman" w:eastAsia="宋体" w:cs="Times New Roman"/>
                <w:color w:val="auto"/>
                <w:kern w:val="0"/>
                <w:szCs w:val="21"/>
                <w:highlight w:val="none"/>
              </w:rPr>
              <w:t>直流充电</w:t>
            </w:r>
            <w:bookmarkEnd w:id="42"/>
            <w:r>
              <w:rPr>
                <w:rFonts w:hint="default" w:ascii="Times New Roman" w:hAnsi="Times New Roman" w:eastAsia="宋体" w:cs="Times New Roman"/>
                <w:color w:val="auto"/>
                <w:kern w:val="0"/>
                <w:szCs w:val="21"/>
                <w:highlight w:val="none"/>
              </w:rPr>
              <w:t>枪，充电枪需有对应充电车位。Q——充电场站内</w:t>
            </w:r>
            <w:bookmarkStart w:id="43" w:name="OLE_LINK19"/>
            <w:r>
              <w:rPr>
                <w:rFonts w:hint="default" w:ascii="Times New Roman" w:hAnsi="Times New Roman" w:eastAsia="宋体" w:cs="Times New Roman"/>
                <w:color w:val="auto"/>
                <w:kern w:val="0"/>
                <w:szCs w:val="21"/>
                <w:highlight w:val="none"/>
              </w:rPr>
              <w:t>直流充电</w:t>
            </w:r>
            <w:bookmarkEnd w:id="43"/>
            <w:r>
              <w:rPr>
                <w:rFonts w:hint="default" w:ascii="Times New Roman" w:hAnsi="Times New Roman" w:eastAsia="宋体" w:cs="Times New Roman"/>
                <w:color w:val="auto"/>
                <w:kern w:val="0"/>
                <w:szCs w:val="21"/>
                <w:highlight w:val="none"/>
              </w:rPr>
              <w:t>枪数量</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val="en-US" w:eastAsia="zh-CN"/>
              </w:rPr>
              <w:t>个</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rPr>
              <w:t>。</w:t>
            </w:r>
            <w:bookmarkEnd w:id="41"/>
          </w:p>
        </w:tc>
        <w:tc>
          <w:tcPr>
            <w:tcW w:w="1271" w:type="dxa"/>
            <w:tcBorders>
              <w:top w:val="nil"/>
              <w:left w:val="nil"/>
              <w:bottom w:val="single" w:color="auto" w:sz="4" w:space="0"/>
              <w:right w:val="single" w:color="auto" w:sz="4" w:space="0"/>
            </w:tcBorders>
            <w:shd w:val="clear" w:color="000000" w:fill="FFFFFF"/>
            <w:vAlign w:val="center"/>
          </w:tcPr>
          <w:p w14:paraId="4EF7296A">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bookmarkStart w:id="44" w:name="OLE_LINK14"/>
            <w:r>
              <w:rPr>
                <w:rFonts w:hint="default" w:ascii="Times New Roman" w:hAnsi="Times New Roman" w:eastAsia="宋体" w:cs="Times New Roman"/>
                <w:color w:val="auto"/>
                <w:kern w:val="0"/>
                <w:szCs w:val="21"/>
                <w:highlight w:val="none"/>
              </w:rPr>
              <w:t>城市Q</w:t>
            </w:r>
            <w:bookmarkStart w:id="45" w:name="OLE_LINK10"/>
            <w:r>
              <w:rPr>
                <w:rFonts w:hint="default" w:ascii="Times New Roman" w:hAnsi="Times New Roman" w:eastAsia="宋体" w:cs="Times New Roman"/>
                <w:color w:val="auto"/>
                <w:kern w:val="0"/>
                <w:szCs w:val="21"/>
                <w:highlight w:val="none"/>
              </w:rPr>
              <w:t>＜</w:t>
            </w:r>
            <w:bookmarkEnd w:id="45"/>
            <w:r>
              <w:rPr>
                <w:rFonts w:hint="default" w:ascii="Times New Roman" w:hAnsi="Times New Roman" w:eastAsia="宋体" w:cs="Times New Roman"/>
                <w:color w:val="auto"/>
                <w:kern w:val="0"/>
                <w:szCs w:val="21"/>
                <w:highlight w:val="none"/>
              </w:rPr>
              <w:t>4</w:t>
            </w:r>
          </w:p>
          <w:p w14:paraId="7A86894F">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高速</w:t>
            </w:r>
            <w:bookmarkStart w:id="46" w:name="OLE_LINK9"/>
            <w:bookmarkStart w:id="47" w:name="OLE_LINK18"/>
            <w:r>
              <w:rPr>
                <w:rFonts w:hint="default" w:ascii="Times New Roman" w:hAnsi="Times New Roman" w:eastAsia="宋体" w:cs="Times New Roman"/>
                <w:color w:val="auto"/>
                <w:kern w:val="0"/>
                <w:szCs w:val="21"/>
                <w:highlight w:val="none"/>
              </w:rPr>
              <w:t>Q</w:t>
            </w:r>
            <w:bookmarkStart w:id="48" w:name="OLE_LINK13"/>
            <w:r>
              <w:rPr>
                <w:rFonts w:hint="default" w:ascii="Times New Roman" w:hAnsi="Times New Roman" w:eastAsia="宋体" w:cs="Times New Roman"/>
                <w:color w:val="auto"/>
                <w:kern w:val="0"/>
                <w:szCs w:val="21"/>
                <w:highlight w:val="none"/>
              </w:rPr>
              <w:t>＜</w:t>
            </w:r>
            <w:bookmarkEnd w:id="46"/>
            <w:bookmarkEnd w:id="48"/>
            <w:r>
              <w:rPr>
                <w:rFonts w:hint="default" w:ascii="Times New Roman" w:hAnsi="Times New Roman" w:eastAsia="宋体" w:cs="Times New Roman"/>
                <w:color w:val="auto"/>
                <w:kern w:val="0"/>
                <w:szCs w:val="21"/>
                <w:highlight w:val="none"/>
              </w:rPr>
              <w:t>2</w:t>
            </w:r>
            <w:bookmarkEnd w:id="47"/>
          </w:p>
          <w:bookmarkEnd w:id="44"/>
          <w:p w14:paraId="71C3C28C">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bookmarkStart w:id="49" w:name="OLE_LINK21"/>
            <w:r>
              <w:rPr>
                <w:rFonts w:hint="default" w:ascii="Times New Roman" w:hAnsi="Times New Roman" w:eastAsia="宋体" w:cs="Times New Roman"/>
                <w:color w:val="auto"/>
                <w:kern w:val="0"/>
                <w:szCs w:val="21"/>
                <w:highlight w:val="none"/>
              </w:rPr>
              <w:t>县域</w:t>
            </w:r>
            <w:bookmarkEnd w:id="49"/>
            <w:r>
              <w:rPr>
                <w:rFonts w:hint="default" w:ascii="Times New Roman" w:hAnsi="Times New Roman" w:eastAsia="宋体" w:cs="Times New Roman"/>
                <w:color w:val="auto"/>
                <w:kern w:val="0"/>
                <w:szCs w:val="21"/>
                <w:highlight w:val="none"/>
              </w:rPr>
              <w:t>Q＜2</w:t>
            </w:r>
          </w:p>
        </w:tc>
        <w:tc>
          <w:tcPr>
            <w:tcW w:w="1246" w:type="dxa"/>
            <w:tcBorders>
              <w:top w:val="nil"/>
              <w:left w:val="nil"/>
              <w:bottom w:val="single" w:color="auto" w:sz="4" w:space="0"/>
              <w:right w:val="single" w:color="auto" w:sz="4" w:space="0"/>
            </w:tcBorders>
            <w:shd w:val="clear" w:color="000000" w:fill="FFFFFF"/>
            <w:vAlign w:val="center"/>
          </w:tcPr>
          <w:p w14:paraId="71F83715">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城市4≤Q＜8</w:t>
            </w:r>
          </w:p>
          <w:p w14:paraId="3EC3EA47">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高速2≤Q＜</w:t>
            </w:r>
            <w:r>
              <w:rPr>
                <w:rFonts w:hint="default" w:ascii="Times New Roman" w:hAnsi="Times New Roman" w:eastAsia="宋体" w:cs="Times New Roman"/>
                <w:color w:val="auto"/>
                <w:kern w:val="0"/>
                <w:szCs w:val="21"/>
                <w:highlight w:val="none"/>
                <w:lang w:eastAsia="zh-CN"/>
              </w:rPr>
              <w:t>3</w:t>
            </w:r>
          </w:p>
          <w:p w14:paraId="23CA5123">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县域2≤Q&lt;4</w:t>
            </w:r>
          </w:p>
        </w:tc>
        <w:tc>
          <w:tcPr>
            <w:tcW w:w="1170" w:type="dxa"/>
            <w:tcBorders>
              <w:top w:val="nil"/>
              <w:left w:val="nil"/>
              <w:bottom w:val="single" w:color="auto" w:sz="4" w:space="0"/>
              <w:right w:val="single" w:color="auto" w:sz="4" w:space="0"/>
            </w:tcBorders>
            <w:shd w:val="clear" w:color="000000" w:fill="FFFFFF"/>
            <w:vAlign w:val="center"/>
          </w:tcPr>
          <w:p w14:paraId="3B537A3A">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kern w:val="0"/>
                <w:szCs w:val="21"/>
                <w:highlight w:val="none"/>
              </w:rPr>
              <w:t>城市8≤Q＜</w:t>
            </w:r>
            <w:r>
              <w:rPr>
                <w:rFonts w:hint="default" w:ascii="Times New Roman" w:hAnsi="Times New Roman" w:eastAsia="宋体" w:cs="Times New Roman"/>
                <w:color w:val="auto"/>
                <w:kern w:val="0"/>
                <w:szCs w:val="21"/>
                <w:highlight w:val="none"/>
                <w:lang w:val="en-US" w:eastAsia="zh-CN"/>
              </w:rPr>
              <w:t>16</w:t>
            </w:r>
          </w:p>
          <w:p w14:paraId="6BE0AC22">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高速</w:t>
            </w:r>
            <w:r>
              <w:rPr>
                <w:rFonts w:hint="default" w:ascii="Times New Roman" w:hAnsi="Times New Roman" w:eastAsia="宋体" w:cs="Times New Roman"/>
                <w:color w:val="auto"/>
                <w:kern w:val="0"/>
                <w:szCs w:val="21"/>
                <w:highlight w:val="none"/>
                <w:lang w:eastAsia="zh-CN"/>
              </w:rPr>
              <w:t>3</w:t>
            </w:r>
            <w:r>
              <w:rPr>
                <w:rFonts w:hint="default" w:ascii="Times New Roman" w:hAnsi="Times New Roman" w:eastAsia="宋体" w:cs="Times New Roman"/>
                <w:color w:val="auto"/>
                <w:kern w:val="0"/>
                <w:szCs w:val="21"/>
                <w:highlight w:val="none"/>
              </w:rPr>
              <w:t>≤Q＜</w:t>
            </w:r>
            <w:r>
              <w:rPr>
                <w:rFonts w:hint="default" w:ascii="Times New Roman" w:hAnsi="Times New Roman" w:eastAsia="宋体" w:cs="Times New Roman"/>
                <w:color w:val="auto"/>
                <w:kern w:val="0"/>
                <w:szCs w:val="21"/>
                <w:highlight w:val="none"/>
                <w:lang w:eastAsia="zh-CN"/>
              </w:rPr>
              <w:t>4</w:t>
            </w:r>
          </w:p>
          <w:p w14:paraId="14E5B01B">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县域4≤Q&lt;8</w:t>
            </w:r>
          </w:p>
        </w:tc>
        <w:tc>
          <w:tcPr>
            <w:tcW w:w="1240" w:type="dxa"/>
            <w:tcBorders>
              <w:top w:val="nil"/>
              <w:left w:val="nil"/>
              <w:bottom w:val="single" w:color="auto" w:sz="4" w:space="0"/>
              <w:right w:val="single" w:color="auto" w:sz="4" w:space="0"/>
            </w:tcBorders>
            <w:shd w:val="clear" w:color="000000" w:fill="FFFFFF"/>
            <w:vAlign w:val="center"/>
          </w:tcPr>
          <w:p w14:paraId="09925DFB">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kern w:val="0"/>
                <w:szCs w:val="21"/>
                <w:highlight w:val="none"/>
              </w:rPr>
              <w:t>城市</w:t>
            </w:r>
            <w:r>
              <w:rPr>
                <w:rFonts w:hint="default" w:ascii="Times New Roman" w:hAnsi="Times New Roman" w:eastAsia="宋体" w:cs="Times New Roman"/>
                <w:color w:val="auto"/>
                <w:kern w:val="0"/>
                <w:szCs w:val="21"/>
                <w:highlight w:val="none"/>
                <w:lang w:val="en-US" w:eastAsia="zh-CN"/>
              </w:rPr>
              <w:t>16</w:t>
            </w:r>
            <w:r>
              <w:rPr>
                <w:rFonts w:hint="default" w:ascii="Times New Roman" w:hAnsi="Times New Roman" w:eastAsia="宋体" w:cs="Times New Roman"/>
                <w:color w:val="auto"/>
                <w:kern w:val="0"/>
                <w:szCs w:val="21"/>
                <w:highlight w:val="none"/>
              </w:rPr>
              <w:t>≤Q＜</w:t>
            </w:r>
            <w:r>
              <w:rPr>
                <w:rFonts w:hint="default" w:ascii="Times New Roman" w:hAnsi="Times New Roman" w:eastAsia="宋体" w:cs="Times New Roman"/>
                <w:color w:val="auto"/>
                <w:kern w:val="0"/>
                <w:szCs w:val="21"/>
                <w:highlight w:val="none"/>
                <w:lang w:val="en-US" w:eastAsia="zh-CN"/>
              </w:rPr>
              <w:t>24</w:t>
            </w:r>
          </w:p>
          <w:p w14:paraId="0F184088">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高速</w:t>
            </w:r>
            <w:r>
              <w:rPr>
                <w:rFonts w:hint="default" w:ascii="Times New Roman" w:hAnsi="Times New Roman" w:eastAsia="宋体" w:cs="Times New Roman"/>
                <w:color w:val="auto"/>
                <w:kern w:val="0"/>
                <w:szCs w:val="21"/>
                <w:highlight w:val="none"/>
                <w:lang w:eastAsia="zh-CN"/>
              </w:rPr>
              <w:t>4</w:t>
            </w:r>
            <w:r>
              <w:rPr>
                <w:rFonts w:hint="default" w:ascii="Times New Roman" w:hAnsi="Times New Roman" w:eastAsia="宋体" w:cs="Times New Roman"/>
                <w:color w:val="auto"/>
                <w:kern w:val="0"/>
                <w:szCs w:val="21"/>
                <w:highlight w:val="none"/>
              </w:rPr>
              <w:t>≤Q＜</w:t>
            </w:r>
            <w:r>
              <w:rPr>
                <w:rFonts w:hint="default" w:ascii="Times New Roman" w:hAnsi="Times New Roman" w:eastAsia="宋体" w:cs="Times New Roman"/>
                <w:color w:val="auto"/>
                <w:kern w:val="0"/>
                <w:szCs w:val="21"/>
                <w:highlight w:val="none"/>
                <w:lang w:eastAsia="zh-CN"/>
              </w:rPr>
              <w:t>8</w:t>
            </w:r>
          </w:p>
          <w:p w14:paraId="3C756E5E">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kern w:val="0"/>
                <w:szCs w:val="21"/>
                <w:highlight w:val="none"/>
              </w:rPr>
              <w:t>县域8≤Q&lt;</w:t>
            </w:r>
            <w:r>
              <w:rPr>
                <w:rFonts w:hint="default" w:ascii="Times New Roman" w:hAnsi="Times New Roman" w:eastAsia="宋体" w:cs="Times New Roman"/>
                <w:color w:val="auto"/>
                <w:kern w:val="0"/>
                <w:szCs w:val="21"/>
                <w:highlight w:val="none"/>
                <w:lang w:val="en-US" w:eastAsia="zh-CN"/>
              </w:rPr>
              <w:t>12</w:t>
            </w:r>
          </w:p>
        </w:tc>
        <w:tc>
          <w:tcPr>
            <w:tcW w:w="1064" w:type="dxa"/>
            <w:tcBorders>
              <w:top w:val="nil"/>
              <w:left w:val="nil"/>
              <w:bottom w:val="single" w:color="auto" w:sz="4" w:space="0"/>
              <w:right w:val="single" w:color="auto" w:sz="4" w:space="0"/>
            </w:tcBorders>
            <w:shd w:val="clear" w:color="000000" w:fill="FFFFFF"/>
            <w:vAlign w:val="center"/>
          </w:tcPr>
          <w:p w14:paraId="38515E4B">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kern w:val="0"/>
                <w:szCs w:val="21"/>
                <w:highlight w:val="none"/>
              </w:rPr>
              <w:t>城市Q≥</w:t>
            </w:r>
            <w:r>
              <w:rPr>
                <w:rFonts w:hint="default" w:ascii="Times New Roman" w:hAnsi="Times New Roman" w:eastAsia="宋体" w:cs="Times New Roman"/>
                <w:color w:val="auto"/>
                <w:kern w:val="0"/>
                <w:szCs w:val="21"/>
                <w:highlight w:val="none"/>
                <w:lang w:val="en-US" w:eastAsia="zh-CN"/>
              </w:rPr>
              <w:t>24</w:t>
            </w:r>
          </w:p>
          <w:p w14:paraId="6E07244F">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高速Q≥</w:t>
            </w:r>
            <w:r>
              <w:rPr>
                <w:rFonts w:hint="default" w:ascii="Times New Roman" w:hAnsi="Times New Roman" w:eastAsia="宋体" w:cs="Times New Roman"/>
                <w:color w:val="auto"/>
                <w:kern w:val="0"/>
                <w:szCs w:val="21"/>
                <w:highlight w:val="none"/>
                <w:lang w:eastAsia="zh-CN"/>
              </w:rPr>
              <w:t>8</w:t>
            </w:r>
          </w:p>
          <w:p w14:paraId="57B5E8E2">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kern w:val="0"/>
                <w:szCs w:val="21"/>
                <w:highlight w:val="none"/>
              </w:rPr>
              <w:t>县域Q≥</w:t>
            </w:r>
            <w:r>
              <w:rPr>
                <w:rFonts w:hint="default" w:ascii="Times New Roman" w:hAnsi="Times New Roman" w:eastAsia="宋体" w:cs="Times New Roman"/>
                <w:color w:val="auto"/>
                <w:kern w:val="0"/>
                <w:szCs w:val="21"/>
                <w:highlight w:val="none"/>
                <w:lang w:val="en-US" w:eastAsia="zh-CN"/>
              </w:rPr>
              <w:t>12</w:t>
            </w:r>
          </w:p>
        </w:tc>
      </w:tr>
      <w:bookmarkEnd w:id="36"/>
      <w:bookmarkEnd w:id="37"/>
      <w:tr w14:paraId="6735EEE7">
        <w:tblPrEx>
          <w:tblCellMar>
            <w:top w:w="0" w:type="dxa"/>
            <w:left w:w="108" w:type="dxa"/>
            <w:bottom w:w="0" w:type="dxa"/>
            <w:right w:w="108" w:type="dxa"/>
          </w:tblCellMar>
        </w:tblPrEx>
        <w:trPr>
          <w:trHeight w:val="2137" w:hRule="atLeast"/>
          <w:jc w:val="center"/>
        </w:trPr>
        <w:tc>
          <w:tcPr>
            <w:tcW w:w="1141" w:type="dxa"/>
            <w:vMerge w:val="continue"/>
            <w:tcBorders>
              <w:left w:val="single" w:color="auto" w:sz="4" w:space="0"/>
              <w:right w:val="single" w:color="auto" w:sz="4" w:space="0"/>
            </w:tcBorders>
            <w:vAlign w:val="center"/>
          </w:tcPr>
          <w:p w14:paraId="45365CE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50" w:name="OLE_LINK31" w:colFirst="6" w:colLast="7"/>
            <w:bookmarkStart w:id="51" w:name="OLE_LINK77" w:colFirst="1" w:colLast="2"/>
            <w:bookmarkStart w:id="52" w:name="OLE_LINK25" w:colFirst="1" w:colLast="7"/>
            <w:bookmarkStart w:id="53" w:name="_Hlk200731272"/>
          </w:p>
        </w:tc>
        <w:tc>
          <w:tcPr>
            <w:tcW w:w="1955" w:type="dxa"/>
            <w:tcBorders>
              <w:top w:val="nil"/>
              <w:left w:val="nil"/>
              <w:bottom w:val="single" w:color="auto" w:sz="4" w:space="0"/>
              <w:right w:val="single" w:color="auto" w:sz="4" w:space="0"/>
            </w:tcBorders>
            <w:shd w:val="clear" w:color="000000" w:fill="FFFFFF"/>
            <w:noWrap/>
            <w:vAlign w:val="center"/>
          </w:tcPr>
          <w:p w14:paraId="473F36E3">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54" w:name="_Hlk200730938"/>
            <w:bookmarkStart w:id="55" w:name="OLE_LINK38"/>
            <w:r>
              <w:rPr>
                <w:rFonts w:hint="default" w:ascii="Times New Roman" w:hAnsi="Times New Roman" w:eastAsia="宋体" w:cs="Times New Roman"/>
                <w:color w:val="auto"/>
                <w:kern w:val="0"/>
                <w:szCs w:val="21"/>
                <w:highlight w:val="none"/>
              </w:rPr>
              <w:t>大功率充电枪比例</w:t>
            </w:r>
            <w:bookmarkEnd w:id="54"/>
            <w:bookmarkEnd w:id="55"/>
          </w:p>
          <w:p w14:paraId="5012CD3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（8分值）</w:t>
            </w:r>
          </w:p>
        </w:tc>
        <w:tc>
          <w:tcPr>
            <w:tcW w:w="4872" w:type="dxa"/>
            <w:tcBorders>
              <w:top w:val="nil"/>
              <w:left w:val="nil"/>
              <w:bottom w:val="single" w:color="auto" w:sz="4" w:space="0"/>
              <w:right w:val="single" w:color="auto" w:sz="4" w:space="0"/>
            </w:tcBorders>
            <w:shd w:val="clear" w:color="000000" w:fill="FFFFFF"/>
            <w:vAlign w:val="center"/>
          </w:tcPr>
          <w:p w14:paraId="452ED227">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bookmarkStart w:id="56" w:name="_Hlk200731115"/>
            <w:bookmarkStart w:id="57" w:name="OLE_LINK132"/>
            <w:r>
              <w:rPr>
                <w:rFonts w:hint="default" w:ascii="Times New Roman" w:hAnsi="Times New Roman" w:eastAsia="宋体" w:cs="Times New Roman"/>
                <w:color w:val="auto"/>
                <w:kern w:val="0"/>
                <w:szCs w:val="21"/>
              </w:rPr>
              <w:t>充电场站宜配置大功率</w:t>
            </w:r>
            <w:r>
              <w:rPr>
                <w:rFonts w:hint="default" w:ascii="Times New Roman" w:hAnsi="Times New Roman" w:eastAsia="宋体" w:cs="Times New Roman"/>
                <w:color w:val="auto"/>
                <w:kern w:val="0"/>
                <w:szCs w:val="21"/>
                <w:lang w:val="en-US" w:eastAsia="zh-CN"/>
              </w:rPr>
              <w:t>充电桩</w:t>
            </w:r>
            <w:r>
              <w:rPr>
                <w:rFonts w:hint="default" w:ascii="Times New Roman" w:hAnsi="Times New Roman" w:eastAsia="宋体" w:cs="Times New Roman"/>
                <w:color w:val="auto"/>
                <w:kern w:val="0"/>
                <w:szCs w:val="21"/>
              </w:rPr>
              <w:t>（</w:t>
            </w:r>
            <w:r>
              <w:rPr>
                <w:rFonts w:hint="default" w:ascii="Times New Roman" w:hAnsi="Times New Roman" w:eastAsia="宋体" w:cs="Times New Roman"/>
                <w:color w:val="auto"/>
                <w:kern w:val="0"/>
                <w:szCs w:val="21"/>
                <w:lang w:val="en-US" w:eastAsia="zh-CN"/>
              </w:rPr>
              <w:t>单枪额定输出</w:t>
            </w:r>
            <w:r>
              <w:rPr>
                <w:rFonts w:hint="default" w:ascii="Times New Roman" w:hAnsi="Times New Roman" w:eastAsia="宋体" w:cs="Times New Roman"/>
                <w:color w:val="auto"/>
                <w:kern w:val="0"/>
                <w:szCs w:val="21"/>
              </w:rPr>
              <w:t>功率＞250kW</w:t>
            </w:r>
            <w:r>
              <w:rPr>
                <w:rFonts w:hint="default" w:ascii="Times New Roman" w:hAnsi="Times New Roman" w:eastAsia="宋体" w:cs="Times New Roman"/>
                <w:color w:val="auto"/>
                <w:kern w:val="0"/>
                <w:szCs w:val="21"/>
                <w:lang w:eastAsia="zh-CN"/>
              </w:rPr>
              <w:t>）</w:t>
            </w:r>
            <w:r>
              <w:rPr>
                <w:rFonts w:hint="default" w:ascii="Times New Roman" w:hAnsi="Times New Roman" w:eastAsia="宋体" w:cs="Times New Roman"/>
                <w:color w:val="auto"/>
                <w:kern w:val="0"/>
                <w:szCs w:val="21"/>
              </w:rPr>
              <w:t>和超充</w:t>
            </w:r>
            <w:r>
              <w:rPr>
                <w:rFonts w:hint="default" w:ascii="Times New Roman" w:hAnsi="Times New Roman" w:eastAsia="宋体" w:cs="Times New Roman"/>
                <w:color w:val="auto"/>
                <w:kern w:val="0"/>
                <w:szCs w:val="21"/>
                <w:lang w:val="en-US" w:eastAsia="zh-CN"/>
              </w:rPr>
              <w:t>桩</w:t>
            </w:r>
            <w:r>
              <w:rPr>
                <w:rFonts w:hint="default" w:ascii="Times New Roman" w:hAnsi="Times New Roman" w:eastAsia="宋体" w:cs="Times New Roman"/>
                <w:color w:val="auto"/>
                <w:kern w:val="0"/>
                <w:szCs w:val="21"/>
              </w:rPr>
              <w:t>（</w:t>
            </w:r>
            <w:r>
              <w:rPr>
                <w:rFonts w:hint="default" w:ascii="Times New Roman" w:hAnsi="Times New Roman" w:eastAsia="宋体" w:cs="Times New Roman"/>
                <w:color w:val="auto"/>
                <w:kern w:val="0"/>
                <w:szCs w:val="21"/>
                <w:lang w:val="en-US" w:eastAsia="zh-CN"/>
              </w:rPr>
              <w:t>单枪</w:t>
            </w:r>
            <w:r>
              <w:rPr>
                <w:rFonts w:hint="default" w:ascii="Times New Roman" w:hAnsi="Times New Roman" w:eastAsia="宋体" w:cs="Times New Roman"/>
                <w:color w:val="auto"/>
                <w:kern w:val="0"/>
                <w:szCs w:val="21"/>
              </w:rPr>
              <w:t>功率≥480kW</w:t>
            </w:r>
            <w:r>
              <w:rPr>
                <w:rFonts w:hint="default" w:ascii="Times New Roman" w:hAnsi="Times New Roman" w:eastAsia="宋体" w:cs="Times New Roman"/>
                <w:color w:val="auto"/>
                <w:kern w:val="0"/>
                <w:szCs w:val="21"/>
                <w:lang w:val="en-US" w:eastAsia="zh-CN"/>
              </w:rPr>
              <w:t>且</w:t>
            </w:r>
            <w:r>
              <w:rPr>
                <w:rFonts w:hint="default" w:ascii="Times New Roman" w:hAnsi="Times New Roman" w:eastAsia="宋体" w:cs="Times New Roman"/>
                <w:color w:val="auto"/>
                <w:kern w:val="0"/>
                <w:szCs w:val="21"/>
              </w:rPr>
              <w:t>电流≥</w:t>
            </w:r>
            <w:r>
              <w:rPr>
                <w:rFonts w:hint="default" w:ascii="Times New Roman" w:hAnsi="Times New Roman" w:eastAsia="宋体" w:cs="Times New Roman"/>
                <w:color w:val="auto"/>
                <w:kern w:val="0"/>
                <w:szCs w:val="21"/>
                <w:lang w:val="en-US" w:eastAsia="zh-CN"/>
              </w:rPr>
              <w:t>600</w:t>
            </w:r>
            <w:r>
              <w:rPr>
                <w:rFonts w:hint="default" w:ascii="Times New Roman" w:hAnsi="Times New Roman" w:eastAsia="宋体" w:cs="Times New Roman"/>
                <w:color w:val="auto"/>
                <w:kern w:val="0"/>
                <w:szCs w:val="21"/>
              </w:rPr>
              <w:t>A）。</w:t>
            </w:r>
          </w:p>
          <w:p w14:paraId="6912B589">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highlight w:val="none"/>
              </w:rPr>
              <w:t>M——充电场站内大功率充电枪在所有直流充电枪中的占比。</w:t>
            </w:r>
          </w:p>
          <w:p w14:paraId="0A037DE4">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N——充电场站内超充枪在所有直流充电枪中的占比。</w:t>
            </w:r>
            <w:bookmarkEnd w:id="56"/>
            <w:bookmarkEnd w:id="57"/>
          </w:p>
        </w:tc>
        <w:tc>
          <w:tcPr>
            <w:tcW w:w="3687" w:type="dxa"/>
            <w:gridSpan w:val="3"/>
            <w:tcBorders>
              <w:top w:val="nil"/>
              <w:left w:val="nil"/>
              <w:bottom w:val="single" w:color="auto" w:sz="4" w:space="0"/>
              <w:right w:val="single" w:color="auto" w:sz="4" w:space="0"/>
            </w:tcBorders>
            <w:shd w:val="clear" w:color="000000" w:fill="FFFFFF"/>
            <w:vAlign w:val="center"/>
          </w:tcPr>
          <w:p w14:paraId="7022A007">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lang w:val="en-US" w:eastAsia="zh-CN"/>
              </w:rPr>
            </w:pPr>
            <w:r>
              <w:rPr>
                <w:rFonts w:hint="eastAsia" w:eastAsia="宋体" w:cs="Times New Roman"/>
                <w:color w:val="auto"/>
                <w:kern w:val="0"/>
                <w:szCs w:val="21"/>
                <w:highlight w:val="none"/>
                <w:lang w:val="en-US" w:eastAsia="zh-CN"/>
              </w:rPr>
              <w:t>M=0且N=0</w:t>
            </w:r>
          </w:p>
        </w:tc>
        <w:tc>
          <w:tcPr>
            <w:tcW w:w="1240" w:type="dxa"/>
            <w:tcBorders>
              <w:top w:val="nil"/>
              <w:left w:val="nil"/>
              <w:bottom w:val="single" w:color="auto" w:sz="4" w:space="0"/>
              <w:right w:val="single" w:color="auto" w:sz="4" w:space="0"/>
            </w:tcBorders>
            <w:shd w:val="clear" w:color="000000" w:fill="FFFFFF"/>
            <w:vAlign w:val="center"/>
          </w:tcPr>
          <w:p w14:paraId="496992D8">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kern w:val="0"/>
                <w:szCs w:val="21"/>
                <w:highlight w:val="none"/>
              </w:rPr>
              <w:t>M</w:t>
            </w:r>
            <w:r>
              <w:rPr>
                <w:rFonts w:hint="eastAsia" w:eastAsia="宋体" w:cs="Times New Roman"/>
                <w:color w:val="auto"/>
                <w:kern w:val="0"/>
                <w:szCs w:val="21"/>
                <w:highlight w:val="none"/>
                <w:lang w:val="en-US" w:eastAsia="zh-CN"/>
              </w:rPr>
              <w:t>＞0</w:t>
            </w:r>
          </w:p>
          <w:p w14:paraId="4301D127">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或</w:t>
            </w:r>
          </w:p>
          <w:p w14:paraId="51ADBAFA">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eastAsia" w:eastAsia="宋体" w:cs="Times New Roman"/>
                <w:color w:val="auto"/>
                <w:kern w:val="0"/>
                <w:szCs w:val="21"/>
                <w:highlight w:val="none"/>
                <w:lang w:val="en-US" w:eastAsia="zh-CN"/>
              </w:rPr>
              <w:t>N＞0</w:t>
            </w:r>
          </w:p>
        </w:tc>
        <w:tc>
          <w:tcPr>
            <w:tcW w:w="1064" w:type="dxa"/>
            <w:tcBorders>
              <w:top w:val="nil"/>
              <w:left w:val="nil"/>
              <w:bottom w:val="single" w:color="auto" w:sz="4" w:space="0"/>
              <w:right w:val="single" w:color="auto" w:sz="4" w:space="0"/>
            </w:tcBorders>
            <w:shd w:val="clear" w:color="000000" w:fill="FFFFFF"/>
            <w:vAlign w:val="center"/>
          </w:tcPr>
          <w:p w14:paraId="02D41CE0">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M≥</w:t>
            </w:r>
            <w:r>
              <w:rPr>
                <w:rFonts w:hint="eastAsia" w:eastAsia="宋体" w:cs="Times New Roman"/>
                <w:color w:val="auto"/>
                <w:kern w:val="0"/>
                <w:szCs w:val="21"/>
                <w:highlight w:val="none"/>
                <w:lang w:val="en-US" w:eastAsia="zh-CN"/>
              </w:rPr>
              <w:t>3</w:t>
            </w:r>
            <w:r>
              <w:rPr>
                <w:rFonts w:hint="default" w:ascii="Times New Roman" w:hAnsi="Times New Roman" w:eastAsia="宋体" w:cs="Times New Roman"/>
                <w:color w:val="auto"/>
                <w:kern w:val="0"/>
                <w:szCs w:val="21"/>
                <w:highlight w:val="none"/>
                <w:lang w:val="en-US" w:eastAsia="zh-CN"/>
              </w:rPr>
              <w:t>0</w:t>
            </w:r>
            <w:r>
              <w:rPr>
                <w:rFonts w:hint="default" w:ascii="Times New Roman" w:hAnsi="Times New Roman" w:eastAsia="宋体" w:cs="Times New Roman"/>
                <w:color w:val="auto"/>
                <w:kern w:val="0"/>
                <w:szCs w:val="21"/>
                <w:highlight w:val="none"/>
              </w:rPr>
              <w:t>%或</w:t>
            </w:r>
          </w:p>
          <w:p w14:paraId="13DE4D7D">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N≥</w:t>
            </w:r>
            <w:r>
              <w:rPr>
                <w:rFonts w:hint="default" w:ascii="Times New Roman" w:hAnsi="Times New Roman" w:eastAsia="宋体" w:cs="Times New Roman"/>
                <w:color w:val="auto"/>
                <w:kern w:val="0"/>
                <w:szCs w:val="21"/>
                <w:highlight w:val="none"/>
                <w:lang w:val="en-US" w:eastAsia="zh-CN"/>
              </w:rPr>
              <w:t>1</w:t>
            </w:r>
            <w:r>
              <w:rPr>
                <w:rFonts w:hint="eastAsia"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w:t>
            </w:r>
          </w:p>
        </w:tc>
      </w:tr>
      <w:bookmarkEnd w:id="38"/>
      <w:bookmarkEnd w:id="50"/>
      <w:bookmarkEnd w:id="51"/>
      <w:bookmarkEnd w:id="52"/>
      <w:bookmarkEnd w:id="53"/>
      <w:tr w14:paraId="596AD38A">
        <w:tblPrEx>
          <w:tblCellMar>
            <w:top w:w="0" w:type="dxa"/>
            <w:left w:w="108" w:type="dxa"/>
            <w:bottom w:w="0" w:type="dxa"/>
            <w:right w:w="108" w:type="dxa"/>
          </w:tblCellMar>
        </w:tblPrEx>
        <w:trPr>
          <w:trHeight w:val="871" w:hRule="atLeast"/>
          <w:jc w:val="center"/>
        </w:trPr>
        <w:tc>
          <w:tcPr>
            <w:tcW w:w="1141" w:type="dxa"/>
            <w:vMerge w:val="continue"/>
            <w:tcBorders>
              <w:left w:val="single" w:color="auto" w:sz="4" w:space="0"/>
              <w:bottom w:val="single" w:color="000000" w:sz="4" w:space="0"/>
              <w:right w:val="single" w:color="auto" w:sz="4" w:space="0"/>
            </w:tcBorders>
            <w:vAlign w:val="center"/>
          </w:tcPr>
          <w:p w14:paraId="13D8DC75">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p>
        </w:tc>
        <w:tc>
          <w:tcPr>
            <w:tcW w:w="1955" w:type="dxa"/>
            <w:tcBorders>
              <w:top w:val="nil"/>
              <w:left w:val="nil"/>
              <w:bottom w:val="single" w:color="auto" w:sz="4" w:space="0"/>
              <w:right w:val="single" w:color="auto" w:sz="4" w:space="0"/>
            </w:tcBorders>
            <w:shd w:val="clear" w:color="000000" w:fill="FFFFFF"/>
            <w:noWrap/>
            <w:vAlign w:val="center"/>
          </w:tcPr>
          <w:p w14:paraId="5268D68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lang w:val="en-US" w:eastAsia="zh-CN"/>
              </w:rPr>
            </w:pPr>
            <w:bookmarkStart w:id="58" w:name="OLE_LINK40"/>
            <w:r>
              <w:rPr>
                <w:rFonts w:hint="default" w:ascii="Times New Roman" w:hAnsi="Times New Roman" w:eastAsia="宋体" w:cs="Times New Roman"/>
                <w:color w:val="auto"/>
                <w:kern w:val="0"/>
                <w:szCs w:val="21"/>
                <w:highlight w:val="none"/>
              </w:rPr>
              <w:t>供电容量</w:t>
            </w:r>
            <w:bookmarkEnd w:id="58"/>
          </w:p>
          <w:p w14:paraId="3A198E9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（4分值）</w:t>
            </w:r>
          </w:p>
        </w:tc>
        <w:tc>
          <w:tcPr>
            <w:tcW w:w="4872" w:type="dxa"/>
            <w:tcBorders>
              <w:top w:val="nil"/>
              <w:left w:val="nil"/>
              <w:bottom w:val="single" w:color="auto" w:sz="4" w:space="0"/>
              <w:right w:val="single" w:color="auto" w:sz="4" w:space="0"/>
            </w:tcBorders>
            <w:shd w:val="clear" w:color="000000" w:fill="FFFFFF"/>
            <w:vAlign w:val="center"/>
          </w:tcPr>
          <w:p w14:paraId="7A3360BB">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lang w:eastAsia="zh-CN"/>
              </w:rPr>
            </w:pPr>
            <w:r>
              <w:rPr>
                <w:rFonts w:hint="default" w:ascii="Times New Roman" w:hAnsi="Times New Roman" w:eastAsia="宋体" w:cs="Times New Roman"/>
                <w:color w:val="auto"/>
                <w:kern w:val="0"/>
                <w:szCs w:val="21"/>
                <w:highlight w:val="none"/>
              </w:rPr>
              <w:t>C——充电场站供电容量与场站</w:t>
            </w:r>
            <w:r>
              <w:rPr>
                <w:rFonts w:hint="default" w:ascii="Times New Roman" w:hAnsi="Times New Roman" w:eastAsia="宋体" w:cs="Times New Roman"/>
                <w:color w:val="auto"/>
                <w:kern w:val="0"/>
                <w:szCs w:val="21"/>
                <w:highlight w:val="none"/>
                <w:lang w:val="en-US" w:eastAsia="zh-CN"/>
              </w:rPr>
              <w:t>装机总</w:t>
            </w:r>
            <w:r>
              <w:rPr>
                <w:rFonts w:hint="default" w:ascii="Times New Roman" w:hAnsi="Times New Roman" w:eastAsia="宋体" w:cs="Times New Roman"/>
                <w:color w:val="auto"/>
                <w:kern w:val="0"/>
                <w:szCs w:val="21"/>
                <w:highlight w:val="none"/>
              </w:rPr>
              <w:t>功率匹配。</w:t>
            </w:r>
            <w:bookmarkStart w:id="59" w:name="OLE_LINK133"/>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val="en-US" w:eastAsia="zh-CN"/>
              </w:rPr>
              <w:t>C=装机总共功率/供电容量</w:t>
            </w:r>
            <w:r>
              <w:rPr>
                <w:rFonts w:hint="default" w:ascii="Times New Roman" w:hAnsi="Times New Roman" w:eastAsia="宋体" w:cs="Times New Roman"/>
                <w:color w:val="auto"/>
                <w:kern w:val="0"/>
                <w:szCs w:val="21"/>
                <w:highlight w:val="none"/>
                <w:lang w:eastAsia="zh-CN"/>
              </w:rPr>
              <w:t>）</w:t>
            </w:r>
            <w:bookmarkEnd w:id="59"/>
          </w:p>
        </w:tc>
        <w:tc>
          <w:tcPr>
            <w:tcW w:w="1271" w:type="dxa"/>
            <w:tcBorders>
              <w:top w:val="nil"/>
              <w:left w:val="nil"/>
              <w:bottom w:val="single" w:color="auto" w:sz="4" w:space="0"/>
              <w:right w:val="single" w:color="auto" w:sz="4" w:space="0"/>
            </w:tcBorders>
            <w:shd w:val="clear" w:color="000000" w:fill="FFFFFF"/>
            <w:vAlign w:val="center"/>
          </w:tcPr>
          <w:p w14:paraId="2CCA2F29">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C</w:t>
            </w:r>
            <w:bookmarkStart w:id="60" w:name="OLE_LINK11"/>
            <w:r>
              <w:rPr>
                <w:rFonts w:hint="default" w:ascii="Times New Roman" w:hAnsi="Times New Roman" w:eastAsia="宋体" w:cs="Times New Roman"/>
                <w:color w:val="auto"/>
                <w:kern w:val="0"/>
                <w:szCs w:val="21"/>
                <w:highlight w:val="none"/>
              </w:rPr>
              <w:t>＜</w:t>
            </w:r>
            <w:bookmarkEnd w:id="60"/>
            <w:r>
              <w:rPr>
                <w:rFonts w:hint="default" w:ascii="Times New Roman" w:hAnsi="Times New Roman" w:eastAsia="宋体" w:cs="Times New Roman"/>
                <w:color w:val="auto"/>
                <w:kern w:val="0"/>
                <w:szCs w:val="21"/>
                <w:highlight w:val="none"/>
              </w:rPr>
              <w:t>60%</w:t>
            </w:r>
          </w:p>
        </w:tc>
        <w:tc>
          <w:tcPr>
            <w:tcW w:w="1246" w:type="dxa"/>
            <w:tcBorders>
              <w:top w:val="nil"/>
              <w:left w:val="nil"/>
              <w:bottom w:val="single" w:color="auto" w:sz="4" w:space="0"/>
              <w:right w:val="single" w:color="auto" w:sz="4" w:space="0"/>
            </w:tcBorders>
            <w:shd w:val="clear" w:color="000000" w:fill="FFFFFF"/>
            <w:vAlign w:val="center"/>
          </w:tcPr>
          <w:p w14:paraId="0210602F">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60%≤C＜</w:t>
            </w:r>
            <w:r>
              <w:rPr>
                <w:rFonts w:hint="eastAsia" w:eastAsia="宋体" w:cs="Times New Roman"/>
                <w:color w:val="auto"/>
                <w:kern w:val="0"/>
                <w:szCs w:val="21"/>
                <w:highlight w:val="none"/>
                <w:lang w:val="en-US" w:eastAsia="zh-CN"/>
              </w:rPr>
              <w:t>70</w:t>
            </w:r>
            <w:r>
              <w:rPr>
                <w:rFonts w:hint="default" w:ascii="Times New Roman" w:hAnsi="Times New Roman" w:eastAsia="宋体" w:cs="Times New Roman"/>
                <w:color w:val="auto"/>
                <w:kern w:val="0"/>
                <w:szCs w:val="21"/>
                <w:highlight w:val="none"/>
              </w:rPr>
              <w:t>%</w:t>
            </w:r>
          </w:p>
        </w:tc>
        <w:tc>
          <w:tcPr>
            <w:tcW w:w="1170" w:type="dxa"/>
            <w:tcBorders>
              <w:top w:val="nil"/>
              <w:left w:val="nil"/>
              <w:bottom w:val="single" w:color="auto" w:sz="4" w:space="0"/>
              <w:right w:val="single" w:color="auto" w:sz="4" w:space="0"/>
            </w:tcBorders>
            <w:shd w:val="clear" w:color="000000" w:fill="FFFFFF"/>
            <w:vAlign w:val="center"/>
          </w:tcPr>
          <w:p w14:paraId="1DE60E86">
            <w:pPr>
              <w:keepLines w:val="0"/>
              <w:pageBreakBefore w:val="0"/>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eastAsia" w:eastAsia="宋体" w:cs="Times New Roman"/>
                <w:color w:val="auto"/>
                <w:kern w:val="0"/>
                <w:szCs w:val="21"/>
                <w:highlight w:val="none"/>
                <w:lang w:val="en-US" w:eastAsia="zh-CN"/>
              </w:rPr>
              <w:t>70</w:t>
            </w:r>
            <w:r>
              <w:rPr>
                <w:rFonts w:hint="default" w:ascii="Times New Roman" w:hAnsi="Times New Roman" w:eastAsia="宋体" w:cs="Times New Roman"/>
                <w:color w:val="auto"/>
                <w:kern w:val="0"/>
                <w:szCs w:val="21"/>
                <w:highlight w:val="none"/>
              </w:rPr>
              <w:t>%≤C＜</w:t>
            </w:r>
            <w:r>
              <w:rPr>
                <w:rFonts w:hint="eastAsia" w:eastAsia="宋体" w:cs="Times New Roman"/>
                <w:color w:val="auto"/>
                <w:kern w:val="0"/>
                <w:szCs w:val="21"/>
                <w:highlight w:val="none"/>
                <w:lang w:val="en-US" w:eastAsia="zh-CN"/>
              </w:rPr>
              <w:t>75</w:t>
            </w:r>
            <w:r>
              <w:rPr>
                <w:rFonts w:hint="default" w:ascii="Times New Roman" w:hAnsi="Times New Roman" w:eastAsia="宋体" w:cs="Times New Roman"/>
                <w:color w:val="auto"/>
                <w:kern w:val="0"/>
                <w:szCs w:val="21"/>
                <w:highlight w:val="none"/>
              </w:rPr>
              <w:t>%</w:t>
            </w:r>
          </w:p>
        </w:tc>
        <w:tc>
          <w:tcPr>
            <w:tcW w:w="1240" w:type="dxa"/>
            <w:tcBorders>
              <w:top w:val="nil"/>
              <w:left w:val="nil"/>
              <w:bottom w:val="single" w:color="auto" w:sz="4" w:space="0"/>
              <w:right w:val="single" w:color="auto" w:sz="4" w:space="0"/>
            </w:tcBorders>
            <w:shd w:val="clear" w:color="000000" w:fill="FFFFFF"/>
            <w:vAlign w:val="center"/>
          </w:tcPr>
          <w:p w14:paraId="09359D6D">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eastAsia" w:eastAsia="宋体" w:cs="Times New Roman"/>
                <w:color w:val="auto"/>
                <w:kern w:val="0"/>
                <w:szCs w:val="21"/>
                <w:highlight w:val="none"/>
                <w:lang w:val="en-US" w:eastAsia="zh-CN"/>
              </w:rPr>
              <w:t>75</w:t>
            </w:r>
            <w:r>
              <w:rPr>
                <w:rFonts w:hint="default" w:ascii="Times New Roman" w:hAnsi="Times New Roman" w:eastAsia="宋体" w:cs="Times New Roman"/>
                <w:color w:val="auto"/>
                <w:kern w:val="0"/>
                <w:szCs w:val="21"/>
                <w:highlight w:val="none"/>
              </w:rPr>
              <w:t>%≤C＜</w:t>
            </w:r>
            <w:r>
              <w:rPr>
                <w:rFonts w:hint="eastAsia" w:eastAsia="宋体" w:cs="Times New Roman"/>
                <w:color w:val="auto"/>
                <w:kern w:val="0"/>
                <w:szCs w:val="21"/>
                <w:highlight w:val="none"/>
                <w:lang w:val="en-US" w:eastAsia="zh-CN"/>
              </w:rPr>
              <w:t>8</w:t>
            </w:r>
            <w:r>
              <w:rPr>
                <w:rFonts w:hint="default" w:ascii="Times New Roman" w:hAnsi="Times New Roman" w:eastAsia="宋体" w:cs="Times New Roman"/>
                <w:color w:val="auto"/>
                <w:kern w:val="0"/>
                <w:szCs w:val="21"/>
                <w:highlight w:val="none"/>
              </w:rPr>
              <w:t>0%</w:t>
            </w:r>
          </w:p>
        </w:tc>
        <w:tc>
          <w:tcPr>
            <w:tcW w:w="1064" w:type="dxa"/>
            <w:tcBorders>
              <w:top w:val="nil"/>
              <w:left w:val="nil"/>
              <w:bottom w:val="single" w:color="auto" w:sz="4" w:space="0"/>
              <w:right w:val="single" w:color="auto" w:sz="4" w:space="0"/>
            </w:tcBorders>
            <w:shd w:val="clear" w:color="000000" w:fill="FFFFFF"/>
            <w:vAlign w:val="center"/>
          </w:tcPr>
          <w:p w14:paraId="73CD6489">
            <w:pPr>
              <w:keepLines w:val="0"/>
              <w:pageBreakBefore w:val="0"/>
              <w:tabs>
                <w:tab w:val="left" w:pos="665"/>
              </w:tabs>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C</w:t>
            </w:r>
            <w:r>
              <w:rPr>
                <w:rFonts w:hint="default" w:ascii="Times New Roman" w:hAnsi="Times New Roman" w:eastAsia="宋体" w:cs="Times New Roman"/>
                <w:color w:val="auto"/>
                <w:kern w:val="0"/>
                <w:szCs w:val="21"/>
                <w:highlight w:val="none"/>
                <w:lang w:val="en-US" w:eastAsia="zh-CN"/>
              </w:rPr>
              <w:t>≥</w:t>
            </w:r>
            <w:r>
              <w:rPr>
                <w:rFonts w:hint="eastAsia" w:eastAsia="宋体" w:cs="Times New Roman"/>
                <w:color w:val="auto"/>
                <w:kern w:val="0"/>
                <w:szCs w:val="21"/>
                <w:highlight w:val="none"/>
                <w:lang w:val="en-US" w:eastAsia="zh-CN"/>
              </w:rPr>
              <w:t>8</w:t>
            </w:r>
            <w:r>
              <w:rPr>
                <w:rFonts w:hint="default" w:ascii="Times New Roman" w:hAnsi="Times New Roman" w:eastAsia="宋体" w:cs="Times New Roman"/>
                <w:color w:val="auto"/>
                <w:kern w:val="0"/>
                <w:szCs w:val="21"/>
                <w:highlight w:val="none"/>
              </w:rPr>
              <w:t>0%</w:t>
            </w:r>
          </w:p>
        </w:tc>
      </w:tr>
      <w:tr w14:paraId="5DD3EAF4">
        <w:tblPrEx>
          <w:tblCellMar>
            <w:top w:w="0" w:type="dxa"/>
            <w:left w:w="108" w:type="dxa"/>
            <w:bottom w:w="0" w:type="dxa"/>
            <w:right w:w="108" w:type="dxa"/>
          </w:tblCellMar>
        </w:tblPrEx>
        <w:trPr>
          <w:trHeight w:val="2274" w:hRule="atLeast"/>
          <w:jc w:val="center"/>
        </w:trPr>
        <w:tc>
          <w:tcPr>
            <w:tcW w:w="1141" w:type="dxa"/>
            <w:vMerge w:val="restart"/>
            <w:tcBorders>
              <w:top w:val="nil"/>
              <w:left w:val="single" w:color="auto" w:sz="4" w:space="0"/>
              <w:right w:val="single" w:color="auto" w:sz="4" w:space="0"/>
            </w:tcBorders>
            <w:vAlign w:val="center"/>
          </w:tcPr>
          <w:p w14:paraId="4AE67C01">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bookmarkStart w:id="61" w:name="OLE_LINK151" w:colFirst="1" w:colLast="7"/>
            <w:bookmarkStart w:id="62" w:name="OLE_LINK33" w:colFirst="6" w:colLast="7"/>
            <w:r>
              <w:rPr>
                <w:rFonts w:hint="default" w:ascii="Times New Roman" w:hAnsi="Times New Roman" w:eastAsia="宋体" w:cs="Times New Roman"/>
                <w:color w:val="auto"/>
                <w:kern w:val="0"/>
                <w:szCs w:val="21"/>
                <w:highlight w:val="none"/>
              </w:rPr>
              <w:t>设施服务</w:t>
            </w:r>
          </w:p>
          <w:p w14:paraId="1EB7BED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32</w:t>
            </w:r>
            <w:r>
              <w:rPr>
                <w:rFonts w:hint="default" w:ascii="Times New Roman" w:hAnsi="Times New Roman" w:eastAsia="宋体" w:cs="Times New Roman"/>
                <w:color w:val="auto"/>
                <w:kern w:val="0"/>
                <w:szCs w:val="21"/>
                <w:highlight w:val="none"/>
              </w:rPr>
              <w:t>分值）</w:t>
            </w:r>
          </w:p>
        </w:tc>
        <w:tc>
          <w:tcPr>
            <w:tcW w:w="1955" w:type="dxa"/>
            <w:tcBorders>
              <w:top w:val="nil"/>
              <w:left w:val="nil"/>
              <w:bottom w:val="single" w:color="auto" w:sz="4" w:space="0"/>
              <w:right w:val="single" w:color="auto" w:sz="4" w:space="0"/>
            </w:tcBorders>
            <w:shd w:val="clear" w:color="000000" w:fill="FFFFFF"/>
            <w:noWrap/>
            <w:vAlign w:val="center"/>
          </w:tcPr>
          <w:p w14:paraId="735017B4">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场站装机总功率</w:t>
            </w:r>
          </w:p>
          <w:p w14:paraId="6A0BD4A4">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分值）</w:t>
            </w:r>
          </w:p>
        </w:tc>
        <w:tc>
          <w:tcPr>
            <w:tcW w:w="4872" w:type="dxa"/>
            <w:tcBorders>
              <w:top w:val="nil"/>
              <w:left w:val="nil"/>
              <w:bottom w:val="single" w:color="auto" w:sz="4" w:space="0"/>
              <w:right w:val="single" w:color="auto" w:sz="4" w:space="0"/>
            </w:tcBorders>
            <w:shd w:val="clear" w:color="000000" w:fill="FFFFFF"/>
            <w:vAlign w:val="center"/>
          </w:tcPr>
          <w:p w14:paraId="55EB8DB3">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P</w:t>
            </w:r>
            <w:r>
              <w:rPr>
                <w:rFonts w:hint="default" w:ascii="Times New Roman" w:hAnsi="Times New Roman" w:eastAsia="宋体" w:cs="Times New Roman"/>
                <w:color w:val="auto"/>
                <w:kern w:val="0"/>
                <w:szCs w:val="21"/>
                <w:highlight w:val="none"/>
                <w:vertAlign w:val="subscript"/>
              </w:rPr>
              <w:t>1</w:t>
            </w:r>
            <w:r>
              <w:rPr>
                <w:rFonts w:hint="default" w:ascii="Times New Roman" w:hAnsi="Times New Roman" w:eastAsia="宋体" w:cs="Times New Roman"/>
                <w:color w:val="auto"/>
                <w:kern w:val="0"/>
                <w:szCs w:val="21"/>
                <w:highlight w:val="none"/>
              </w:rPr>
              <w:t>——充电场站充电模块装机总功率，单位为千瓦（kW）。</w:t>
            </w:r>
          </w:p>
        </w:tc>
        <w:tc>
          <w:tcPr>
            <w:tcW w:w="1271" w:type="dxa"/>
            <w:tcBorders>
              <w:top w:val="nil"/>
              <w:left w:val="nil"/>
              <w:bottom w:val="single" w:color="auto" w:sz="4" w:space="0"/>
              <w:right w:val="single" w:color="auto" w:sz="4" w:space="0"/>
            </w:tcBorders>
            <w:shd w:val="clear" w:color="000000" w:fill="FFFFFF"/>
            <w:vAlign w:val="center"/>
          </w:tcPr>
          <w:p w14:paraId="558E05A4">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高速P</w:t>
            </w:r>
            <w:r>
              <w:rPr>
                <w:rFonts w:hint="default" w:ascii="Times New Roman" w:hAnsi="Times New Roman" w:eastAsia="宋体" w:cs="Times New Roman"/>
                <w:color w:val="auto"/>
                <w:kern w:val="0"/>
                <w:szCs w:val="21"/>
                <w:highlight w:val="none"/>
                <w:vertAlign w:val="subscript"/>
              </w:rPr>
              <w:t>1</w:t>
            </w: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15</w:t>
            </w:r>
            <w:r>
              <w:rPr>
                <w:rFonts w:hint="default" w:ascii="Times New Roman" w:hAnsi="Times New Roman" w:eastAsia="宋体" w:cs="Times New Roman"/>
                <w:color w:val="auto"/>
                <w:kern w:val="0"/>
                <w:szCs w:val="21"/>
                <w:highlight w:val="none"/>
              </w:rPr>
              <w:t>0</w:t>
            </w:r>
          </w:p>
          <w:p w14:paraId="70E92121">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lang w:eastAsia="zh-CN"/>
              </w:rPr>
            </w:pPr>
            <w:r>
              <w:rPr>
                <w:rFonts w:hint="default" w:ascii="Times New Roman" w:hAnsi="Times New Roman" w:eastAsia="宋体" w:cs="Times New Roman"/>
                <w:color w:val="auto"/>
                <w:kern w:val="0"/>
                <w:szCs w:val="21"/>
                <w:highlight w:val="none"/>
                <w:lang w:val="en-US" w:eastAsia="zh-CN"/>
              </w:rPr>
              <w:t>非高速</w:t>
            </w:r>
            <w:r>
              <w:rPr>
                <w:rFonts w:hint="default" w:ascii="Times New Roman" w:hAnsi="Times New Roman" w:eastAsia="宋体" w:cs="Times New Roman"/>
                <w:color w:val="auto"/>
                <w:kern w:val="0"/>
                <w:szCs w:val="21"/>
                <w:highlight w:val="none"/>
              </w:rPr>
              <w:t>P</w:t>
            </w:r>
            <w:r>
              <w:rPr>
                <w:rFonts w:hint="default" w:ascii="Times New Roman" w:hAnsi="Times New Roman" w:eastAsia="宋体" w:cs="Times New Roman"/>
                <w:color w:val="auto"/>
                <w:kern w:val="0"/>
                <w:szCs w:val="21"/>
                <w:highlight w:val="none"/>
                <w:vertAlign w:val="subscript"/>
              </w:rPr>
              <w:t>1</w:t>
            </w: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3</w:t>
            </w:r>
            <w:r>
              <w:rPr>
                <w:rFonts w:hint="default" w:ascii="Times New Roman" w:hAnsi="Times New Roman" w:eastAsia="宋体" w:cs="Times New Roman"/>
                <w:color w:val="auto"/>
                <w:kern w:val="0"/>
                <w:szCs w:val="21"/>
                <w:highlight w:val="none"/>
              </w:rPr>
              <w:t>00</w:t>
            </w:r>
          </w:p>
        </w:tc>
        <w:tc>
          <w:tcPr>
            <w:tcW w:w="1246" w:type="dxa"/>
            <w:tcBorders>
              <w:top w:val="nil"/>
              <w:left w:val="nil"/>
              <w:bottom w:val="single" w:color="auto" w:sz="4" w:space="0"/>
              <w:right w:val="single" w:color="auto" w:sz="4" w:space="0"/>
            </w:tcBorders>
            <w:shd w:val="clear" w:color="000000" w:fill="FFFFFF"/>
            <w:vAlign w:val="center"/>
          </w:tcPr>
          <w:p w14:paraId="506D0E1C">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高速</w:t>
            </w:r>
            <w:r>
              <w:rPr>
                <w:rFonts w:hint="default" w:ascii="Times New Roman" w:hAnsi="Times New Roman" w:eastAsia="宋体" w:cs="Times New Roman"/>
                <w:color w:val="auto"/>
                <w:kern w:val="0"/>
                <w:szCs w:val="21"/>
                <w:highlight w:val="none"/>
                <w:lang w:val="en-US" w:eastAsia="zh-CN"/>
              </w:rPr>
              <w:t>150</w:t>
            </w:r>
            <w:r>
              <w:rPr>
                <w:rFonts w:hint="default" w:ascii="Times New Roman" w:hAnsi="Times New Roman" w:eastAsia="宋体" w:cs="Times New Roman"/>
                <w:color w:val="auto"/>
                <w:kern w:val="0"/>
                <w:szCs w:val="21"/>
                <w:highlight w:val="none"/>
              </w:rPr>
              <w:t>≤P</w:t>
            </w:r>
            <w:r>
              <w:rPr>
                <w:rFonts w:hint="default" w:ascii="Times New Roman" w:hAnsi="Times New Roman" w:eastAsia="宋体" w:cs="Times New Roman"/>
                <w:color w:val="auto"/>
                <w:kern w:val="0"/>
                <w:szCs w:val="21"/>
                <w:highlight w:val="none"/>
                <w:vertAlign w:val="subscript"/>
              </w:rPr>
              <w:t>1</w:t>
            </w: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3</w:t>
            </w:r>
            <w:r>
              <w:rPr>
                <w:rFonts w:hint="default" w:ascii="Times New Roman" w:hAnsi="Times New Roman" w:eastAsia="宋体" w:cs="Times New Roman"/>
                <w:color w:val="auto"/>
                <w:kern w:val="0"/>
                <w:szCs w:val="21"/>
                <w:highlight w:val="none"/>
              </w:rPr>
              <w:t>00</w:t>
            </w:r>
          </w:p>
          <w:p w14:paraId="7A09CD6C">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lang w:val="en-US" w:eastAsia="zh-CN"/>
              </w:rPr>
              <w:t>非高速3</w:t>
            </w:r>
            <w:r>
              <w:rPr>
                <w:rFonts w:hint="default" w:ascii="Times New Roman" w:hAnsi="Times New Roman" w:eastAsia="宋体" w:cs="Times New Roman"/>
                <w:color w:val="auto"/>
                <w:kern w:val="0"/>
                <w:szCs w:val="21"/>
                <w:highlight w:val="none"/>
              </w:rPr>
              <w:t>00≤P</w:t>
            </w:r>
            <w:r>
              <w:rPr>
                <w:rFonts w:hint="default" w:ascii="Times New Roman" w:hAnsi="Times New Roman" w:eastAsia="宋体" w:cs="Times New Roman"/>
                <w:color w:val="auto"/>
                <w:kern w:val="0"/>
                <w:szCs w:val="21"/>
                <w:highlight w:val="none"/>
                <w:vertAlign w:val="subscript"/>
              </w:rPr>
              <w:t>1</w:t>
            </w:r>
            <w:r>
              <w:rPr>
                <w:rFonts w:hint="default" w:ascii="Times New Roman" w:hAnsi="Times New Roman" w:eastAsia="宋体" w:cs="Times New Roman"/>
                <w:color w:val="auto"/>
                <w:kern w:val="0"/>
                <w:szCs w:val="21"/>
                <w:highlight w:val="none"/>
              </w:rPr>
              <w:t>＜</w:t>
            </w:r>
            <w:bookmarkStart w:id="63" w:name="OLE_LINK26"/>
            <w:r>
              <w:rPr>
                <w:rFonts w:hint="default" w:ascii="Times New Roman" w:hAnsi="Times New Roman" w:eastAsia="宋体" w:cs="Times New Roman"/>
                <w:color w:val="auto"/>
                <w:kern w:val="0"/>
                <w:szCs w:val="21"/>
                <w:highlight w:val="none"/>
                <w:lang w:val="en-US" w:eastAsia="zh-CN"/>
              </w:rPr>
              <w:t>4</w:t>
            </w:r>
            <w:r>
              <w:rPr>
                <w:rFonts w:hint="default" w:ascii="Times New Roman" w:hAnsi="Times New Roman" w:eastAsia="宋体" w:cs="Times New Roman"/>
                <w:color w:val="auto"/>
                <w:kern w:val="0"/>
                <w:szCs w:val="21"/>
                <w:highlight w:val="none"/>
              </w:rPr>
              <w:t>00</w:t>
            </w:r>
            <w:bookmarkEnd w:id="63"/>
          </w:p>
        </w:tc>
        <w:tc>
          <w:tcPr>
            <w:tcW w:w="1170" w:type="dxa"/>
            <w:tcBorders>
              <w:top w:val="nil"/>
              <w:left w:val="nil"/>
              <w:bottom w:val="single" w:color="auto" w:sz="4" w:space="0"/>
              <w:right w:val="single" w:color="auto" w:sz="4" w:space="0"/>
            </w:tcBorders>
            <w:shd w:val="clear" w:color="000000" w:fill="FFFFFF"/>
            <w:vAlign w:val="center"/>
          </w:tcPr>
          <w:p w14:paraId="490B2592">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高速</w:t>
            </w:r>
            <w:r>
              <w:rPr>
                <w:rFonts w:hint="default" w:ascii="Times New Roman" w:hAnsi="Times New Roman" w:eastAsia="宋体" w:cs="Times New Roman"/>
                <w:color w:val="auto"/>
                <w:kern w:val="0"/>
                <w:szCs w:val="21"/>
                <w:highlight w:val="none"/>
                <w:lang w:val="en-US" w:eastAsia="zh-CN"/>
              </w:rPr>
              <w:t>3</w:t>
            </w:r>
            <w:r>
              <w:rPr>
                <w:rFonts w:hint="default" w:ascii="Times New Roman" w:hAnsi="Times New Roman" w:eastAsia="宋体" w:cs="Times New Roman"/>
                <w:color w:val="auto"/>
                <w:kern w:val="0"/>
                <w:szCs w:val="21"/>
                <w:highlight w:val="none"/>
              </w:rPr>
              <w:t>00≤</w:t>
            </w:r>
            <w:bookmarkStart w:id="64" w:name="OLE_LINK79"/>
            <w:r>
              <w:rPr>
                <w:rFonts w:hint="default" w:ascii="Times New Roman" w:hAnsi="Times New Roman" w:eastAsia="宋体" w:cs="Times New Roman"/>
                <w:color w:val="auto"/>
                <w:kern w:val="0"/>
                <w:szCs w:val="21"/>
                <w:highlight w:val="none"/>
              </w:rPr>
              <w:t>P</w:t>
            </w:r>
            <w:r>
              <w:rPr>
                <w:rFonts w:hint="default" w:ascii="Times New Roman" w:hAnsi="Times New Roman" w:eastAsia="宋体" w:cs="Times New Roman"/>
                <w:color w:val="auto"/>
                <w:kern w:val="0"/>
                <w:szCs w:val="21"/>
                <w:highlight w:val="none"/>
                <w:vertAlign w:val="subscript"/>
              </w:rPr>
              <w:t>1</w:t>
            </w:r>
            <w:bookmarkEnd w:id="64"/>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4</w:t>
            </w:r>
            <w:r>
              <w:rPr>
                <w:rFonts w:hint="default" w:ascii="Times New Roman" w:hAnsi="Times New Roman" w:eastAsia="宋体" w:cs="Times New Roman"/>
                <w:color w:val="auto"/>
                <w:kern w:val="0"/>
                <w:szCs w:val="21"/>
                <w:highlight w:val="none"/>
              </w:rPr>
              <w:t>00</w:t>
            </w:r>
          </w:p>
          <w:p w14:paraId="2FA4C04C">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kern w:val="0"/>
                <w:szCs w:val="21"/>
                <w:highlight w:val="none"/>
                <w:lang w:val="en-US" w:eastAsia="zh-CN"/>
              </w:rPr>
              <w:t>非高速4</w:t>
            </w:r>
            <w:r>
              <w:rPr>
                <w:rFonts w:hint="default" w:ascii="Times New Roman" w:hAnsi="Times New Roman" w:eastAsia="宋体" w:cs="Times New Roman"/>
                <w:color w:val="auto"/>
                <w:kern w:val="0"/>
                <w:szCs w:val="21"/>
                <w:highlight w:val="none"/>
              </w:rPr>
              <w:t>00≤P</w:t>
            </w:r>
            <w:r>
              <w:rPr>
                <w:rFonts w:hint="default" w:ascii="Times New Roman" w:hAnsi="Times New Roman" w:eastAsia="宋体" w:cs="Times New Roman"/>
                <w:color w:val="auto"/>
                <w:kern w:val="0"/>
                <w:szCs w:val="21"/>
                <w:highlight w:val="none"/>
                <w:vertAlign w:val="subscript"/>
              </w:rPr>
              <w:t>1</w:t>
            </w: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480</w:t>
            </w:r>
          </w:p>
        </w:tc>
        <w:tc>
          <w:tcPr>
            <w:tcW w:w="1240" w:type="dxa"/>
            <w:tcBorders>
              <w:top w:val="nil"/>
              <w:left w:val="nil"/>
              <w:bottom w:val="single" w:color="auto" w:sz="4" w:space="0"/>
              <w:right w:val="single" w:color="auto" w:sz="4" w:space="0"/>
            </w:tcBorders>
            <w:shd w:val="clear" w:color="000000" w:fill="FFFFFF"/>
            <w:vAlign w:val="center"/>
          </w:tcPr>
          <w:p w14:paraId="2EEE5DEA">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bookmarkStart w:id="65" w:name="OLE_LINK36"/>
            <w:r>
              <w:rPr>
                <w:rFonts w:hint="default" w:ascii="Times New Roman" w:hAnsi="Times New Roman" w:eastAsia="宋体" w:cs="Times New Roman"/>
                <w:color w:val="auto"/>
                <w:kern w:val="0"/>
                <w:szCs w:val="21"/>
                <w:highlight w:val="none"/>
              </w:rPr>
              <w:t>高速</w:t>
            </w:r>
            <w:r>
              <w:rPr>
                <w:rFonts w:hint="default" w:ascii="Times New Roman" w:hAnsi="Times New Roman" w:eastAsia="宋体" w:cs="Times New Roman"/>
                <w:color w:val="auto"/>
                <w:kern w:val="0"/>
                <w:szCs w:val="21"/>
                <w:highlight w:val="none"/>
                <w:lang w:val="en-US" w:eastAsia="zh-CN"/>
              </w:rPr>
              <w:t>4</w:t>
            </w:r>
            <w:r>
              <w:rPr>
                <w:rFonts w:hint="default" w:ascii="Times New Roman" w:hAnsi="Times New Roman" w:eastAsia="宋体" w:cs="Times New Roman"/>
                <w:color w:val="auto"/>
                <w:kern w:val="0"/>
                <w:szCs w:val="21"/>
                <w:highlight w:val="none"/>
              </w:rPr>
              <w:t>0</w:t>
            </w:r>
            <w:r>
              <w:rPr>
                <w:rFonts w:hint="default" w:ascii="Times New Roman" w:hAnsi="Times New Roman" w:eastAsia="宋体" w:cs="Times New Roman"/>
                <w:color w:val="auto"/>
                <w:kern w:val="0"/>
                <w:szCs w:val="21"/>
                <w:highlight w:val="none"/>
                <w:lang w:val="en-US" w:eastAsia="zh-CN"/>
              </w:rPr>
              <w:t>0</w:t>
            </w:r>
            <w:r>
              <w:rPr>
                <w:rFonts w:hint="default" w:ascii="Times New Roman" w:hAnsi="Times New Roman" w:eastAsia="宋体" w:cs="Times New Roman"/>
                <w:color w:val="auto"/>
                <w:kern w:val="0"/>
                <w:szCs w:val="21"/>
                <w:highlight w:val="none"/>
              </w:rPr>
              <w:t>≤P</w:t>
            </w:r>
            <w:r>
              <w:rPr>
                <w:rFonts w:hint="default" w:ascii="Times New Roman" w:hAnsi="Times New Roman" w:eastAsia="宋体" w:cs="Times New Roman"/>
                <w:color w:val="auto"/>
                <w:kern w:val="0"/>
                <w:szCs w:val="21"/>
                <w:highlight w:val="none"/>
                <w:vertAlign w:val="subscript"/>
              </w:rPr>
              <w:t>1</w:t>
            </w: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6</w:t>
            </w:r>
            <w:r>
              <w:rPr>
                <w:rFonts w:hint="default" w:ascii="Times New Roman" w:hAnsi="Times New Roman" w:eastAsia="宋体" w:cs="Times New Roman"/>
                <w:color w:val="auto"/>
                <w:kern w:val="0"/>
                <w:szCs w:val="21"/>
                <w:highlight w:val="none"/>
              </w:rPr>
              <w:t>00</w:t>
            </w:r>
          </w:p>
          <w:p w14:paraId="243141A3">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lang w:val="en-US" w:eastAsia="zh-CN"/>
              </w:rPr>
              <w:t>非高速480</w:t>
            </w:r>
            <w:r>
              <w:rPr>
                <w:rFonts w:hint="default" w:ascii="Times New Roman" w:hAnsi="Times New Roman" w:eastAsia="宋体" w:cs="Times New Roman"/>
                <w:color w:val="auto"/>
                <w:kern w:val="0"/>
                <w:szCs w:val="21"/>
                <w:highlight w:val="none"/>
              </w:rPr>
              <w:t>≤P</w:t>
            </w:r>
            <w:r>
              <w:rPr>
                <w:rFonts w:hint="default" w:ascii="Times New Roman" w:hAnsi="Times New Roman" w:eastAsia="宋体" w:cs="Times New Roman"/>
                <w:color w:val="auto"/>
                <w:kern w:val="0"/>
                <w:szCs w:val="21"/>
                <w:highlight w:val="none"/>
                <w:vertAlign w:val="subscript"/>
              </w:rPr>
              <w:t>1</w:t>
            </w:r>
            <w:r>
              <w:rPr>
                <w:rFonts w:hint="default" w:ascii="Times New Roman" w:hAnsi="Times New Roman" w:eastAsia="宋体" w:cs="Times New Roman"/>
                <w:color w:val="auto"/>
                <w:kern w:val="0"/>
                <w:szCs w:val="21"/>
                <w:highlight w:val="none"/>
              </w:rPr>
              <w:t>＜1</w:t>
            </w:r>
            <w:r>
              <w:rPr>
                <w:rFonts w:hint="default" w:ascii="Times New Roman" w:hAnsi="Times New Roman" w:eastAsia="宋体" w:cs="Times New Roman"/>
                <w:color w:val="auto"/>
                <w:kern w:val="0"/>
                <w:szCs w:val="21"/>
                <w:highlight w:val="none"/>
                <w:lang w:val="en-US" w:eastAsia="zh-CN"/>
              </w:rPr>
              <w:t>0</w:t>
            </w:r>
            <w:r>
              <w:rPr>
                <w:rFonts w:hint="default" w:ascii="Times New Roman" w:hAnsi="Times New Roman" w:eastAsia="宋体" w:cs="Times New Roman"/>
                <w:color w:val="auto"/>
                <w:kern w:val="0"/>
                <w:szCs w:val="21"/>
                <w:highlight w:val="none"/>
              </w:rPr>
              <w:t>00</w:t>
            </w:r>
            <w:bookmarkEnd w:id="65"/>
          </w:p>
        </w:tc>
        <w:tc>
          <w:tcPr>
            <w:tcW w:w="1064" w:type="dxa"/>
            <w:tcBorders>
              <w:top w:val="nil"/>
              <w:left w:val="nil"/>
              <w:bottom w:val="single" w:color="auto" w:sz="4" w:space="0"/>
              <w:right w:val="single" w:color="auto" w:sz="4" w:space="0"/>
            </w:tcBorders>
            <w:shd w:val="clear" w:color="000000" w:fill="FFFFFF"/>
            <w:vAlign w:val="center"/>
          </w:tcPr>
          <w:p w14:paraId="6F8FB304">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bookmarkStart w:id="66" w:name="OLE_LINK34"/>
            <w:r>
              <w:rPr>
                <w:rFonts w:hint="default" w:ascii="Times New Roman" w:hAnsi="Times New Roman" w:eastAsia="宋体" w:cs="Times New Roman"/>
                <w:color w:val="auto"/>
                <w:kern w:val="0"/>
                <w:szCs w:val="21"/>
                <w:highlight w:val="none"/>
              </w:rPr>
              <w:t>高速P</w:t>
            </w:r>
            <w:r>
              <w:rPr>
                <w:rFonts w:hint="default" w:ascii="Times New Roman" w:hAnsi="Times New Roman" w:eastAsia="宋体" w:cs="Times New Roman"/>
                <w:color w:val="auto"/>
                <w:kern w:val="0"/>
                <w:szCs w:val="21"/>
                <w:highlight w:val="none"/>
                <w:vertAlign w:val="subscript"/>
              </w:rPr>
              <w:t>1</w:t>
            </w: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6</w:t>
            </w:r>
            <w:r>
              <w:rPr>
                <w:rFonts w:hint="default" w:ascii="Times New Roman" w:hAnsi="Times New Roman" w:eastAsia="宋体" w:cs="Times New Roman"/>
                <w:color w:val="auto"/>
                <w:kern w:val="0"/>
                <w:szCs w:val="21"/>
                <w:highlight w:val="none"/>
              </w:rPr>
              <w:t>00</w:t>
            </w:r>
          </w:p>
          <w:p w14:paraId="7C6AF76E">
            <w:pPr>
              <w:keepLines w:val="0"/>
              <w:pageBreakBefore w:val="0"/>
              <w:tabs>
                <w:tab w:val="left" w:pos="665"/>
              </w:tabs>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bookmarkStart w:id="67" w:name="OLE_LINK8"/>
            <w:r>
              <w:rPr>
                <w:rFonts w:hint="default" w:ascii="Times New Roman" w:hAnsi="Times New Roman" w:eastAsia="宋体" w:cs="Times New Roman"/>
                <w:color w:val="auto"/>
                <w:kern w:val="0"/>
                <w:szCs w:val="21"/>
                <w:highlight w:val="none"/>
                <w:lang w:val="en-US" w:eastAsia="zh-CN"/>
              </w:rPr>
              <w:t>非高速</w:t>
            </w:r>
            <w:bookmarkEnd w:id="67"/>
            <w:r>
              <w:rPr>
                <w:rFonts w:hint="default" w:ascii="Times New Roman" w:hAnsi="Times New Roman" w:eastAsia="宋体" w:cs="Times New Roman"/>
                <w:color w:val="auto"/>
                <w:kern w:val="0"/>
                <w:szCs w:val="21"/>
                <w:highlight w:val="none"/>
              </w:rPr>
              <w:t>P</w:t>
            </w:r>
            <w:r>
              <w:rPr>
                <w:rFonts w:hint="default" w:ascii="Times New Roman" w:hAnsi="Times New Roman" w:eastAsia="宋体" w:cs="Times New Roman"/>
                <w:color w:val="auto"/>
                <w:kern w:val="0"/>
                <w:szCs w:val="21"/>
                <w:highlight w:val="none"/>
                <w:vertAlign w:val="subscript"/>
              </w:rPr>
              <w:t>1</w:t>
            </w:r>
            <w:r>
              <w:rPr>
                <w:rFonts w:hint="default" w:ascii="Times New Roman" w:hAnsi="Times New Roman" w:eastAsia="宋体" w:cs="Times New Roman"/>
                <w:color w:val="auto"/>
                <w:kern w:val="0"/>
                <w:szCs w:val="21"/>
                <w:highlight w:val="none"/>
              </w:rPr>
              <w:t>≥1</w:t>
            </w:r>
            <w:r>
              <w:rPr>
                <w:rFonts w:hint="default" w:ascii="Times New Roman" w:hAnsi="Times New Roman" w:eastAsia="宋体" w:cs="Times New Roman"/>
                <w:color w:val="auto"/>
                <w:kern w:val="0"/>
                <w:szCs w:val="21"/>
                <w:highlight w:val="none"/>
                <w:lang w:val="en-US" w:eastAsia="zh-CN"/>
              </w:rPr>
              <w:t>0</w:t>
            </w:r>
            <w:r>
              <w:rPr>
                <w:rFonts w:hint="default" w:ascii="Times New Roman" w:hAnsi="Times New Roman" w:eastAsia="宋体" w:cs="Times New Roman"/>
                <w:color w:val="auto"/>
                <w:kern w:val="0"/>
                <w:szCs w:val="21"/>
                <w:highlight w:val="none"/>
              </w:rPr>
              <w:t>00</w:t>
            </w:r>
            <w:bookmarkEnd w:id="66"/>
          </w:p>
        </w:tc>
      </w:tr>
      <w:bookmarkEnd w:id="61"/>
      <w:bookmarkEnd w:id="62"/>
      <w:tr w14:paraId="7A364C84">
        <w:tblPrEx>
          <w:tblCellMar>
            <w:top w:w="0" w:type="dxa"/>
            <w:left w:w="108" w:type="dxa"/>
            <w:bottom w:w="0" w:type="dxa"/>
            <w:right w:w="108" w:type="dxa"/>
          </w:tblCellMar>
        </w:tblPrEx>
        <w:trPr>
          <w:trHeight w:val="5091" w:hRule="atLeast"/>
          <w:jc w:val="center"/>
        </w:trPr>
        <w:tc>
          <w:tcPr>
            <w:tcW w:w="1141" w:type="dxa"/>
            <w:vMerge w:val="continue"/>
            <w:tcBorders>
              <w:left w:val="single" w:color="auto" w:sz="4" w:space="0"/>
              <w:bottom w:val="single" w:color="000000" w:sz="4" w:space="0"/>
              <w:right w:val="single" w:color="auto" w:sz="4" w:space="0"/>
            </w:tcBorders>
            <w:vAlign w:val="center"/>
          </w:tcPr>
          <w:p w14:paraId="2493FD6F">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p>
        </w:tc>
        <w:tc>
          <w:tcPr>
            <w:tcW w:w="1955" w:type="dxa"/>
            <w:tcBorders>
              <w:top w:val="nil"/>
              <w:left w:val="nil"/>
              <w:bottom w:val="single" w:color="auto" w:sz="4" w:space="0"/>
              <w:right w:val="single" w:color="auto" w:sz="4" w:space="0"/>
            </w:tcBorders>
            <w:shd w:val="clear" w:color="000000" w:fill="FFFFFF"/>
            <w:noWrap/>
            <w:vAlign w:val="center"/>
          </w:tcPr>
          <w:p w14:paraId="28FE7D55">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68" w:name="OLE_LINK41"/>
            <w:r>
              <w:rPr>
                <w:rFonts w:hint="default" w:ascii="Times New Roman" w:hAnsi="Times New Roman" w:eastAsia="宋体" w:cs="Times New Roman"/>
                <w:color w:val="auto"/>
                <w:kern w:val="0"/>
                <w:szCs w:val="21"/>
                <w:highlight w:val="none"/>
              </w:rPr>
              <w:t>车位大小</w:t>
            </w:r>
            <w:bookmarkEnd w:id="68"/>
          </w:p>
          <w:p w14:paraId="4AE1289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eastAsia="zh-CN"/>
              </w:rPr>
              <w:t>5</w:t>
            </w:r>
            <w:r>
              <w:rPr>
                <w:rFonts w:hint="default" w:ascii="Times New Roman" w:hAnsi="Times New Roman" w:eastAsia="宋体" w:cs="Times New Roman"/>
                <w:color w:val="auto"/>
                <w:kern w:val="0"/>
                <w:szCs w:val="21"/>
                <w:highlight w:val="none"/>
              </w:rPr>
              <w:t>分值）</w:t>
            </w:r>
          </w:p>
        </w:tc>
        <w:tc>
          <w:tcPr>
            <w:tcW w:w="4872" w:type="dxa"/>
            <w:tcBorders>
              <w:top w:val="nil"/>
              <w:left w:val="nil"/>
              <w:bottom w:val="single" w:color="auto" w:sz="4" w:space="0"/>
              <w:right w:val="single" w:color="auto" w:sz="4" w:space="0"/>
            </w:tcBorders>
            <w:shd w:val="clear" w:color="000000" w:fill="FFFFFF"/>
            <w:vAlign w:val="center"/>
          </w:tcPr>
          <w:p w14:paraId="24CB906F">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lang w:eastAsia="zh-CN"/>
              </w:rPr>
            </w:pPr>
            <w:bookmarkStart w:id="69" w:name="OLE_LINK134"/>
            <w:r>
              <w:rPr>
                <w:rFonts w:hint="default" w:ascii="Times New Roman" w:hAnsi="Times New Roman" w:eastAsia="宋体" w:cs="Times New Roman"/>
                <w:color w:val="auto"/>
                <w:kern w:val="0"/>
                <w:szCs w:val="21"/>
                <w:highlight w:val="none"/>
              </w:rPr>
              <w:t>有充电</w:t>
            </w:r>
            <w:bookmarkStart w:id="70" w:name="OLE_LINK59"/>
            <w:r>
              <w:rPr>
                <w:rFonts w:hint="default" w:ascii="Times New Roman" w:hAnsi="Times New Roman" w:eastAsia="宋体" w:cs="Times New Roman"/>
                <w:color w:val="auto"/>
                <w:kern w:val="0"/>
                <w:szCs w:val="21"/>
                <w:highlight w:val="none"/>
              </w:rPr>
              <w:t>车位</w:t>
            </w:r>
            <w:bookmarkEnd w:id="70"/>
            <w:r>
              <w:rPr>
                <w:rFonts w:hint="default" w:ascii="Times New Roman" w:hAnsi="Times New Roman" w:eastAsia="宋体" w:cs="Times New Roman"/>
                <w:color w:val="auto"/>
                <w:kern w:val="0"/>
                <w:szCs w:val="21"/>
                <w:highlight w:val="none"/>
              </w:rPr>
              <w:t>划线分区</w:t>
            </w:r>
            <w:r>
              <w:rPr>
                <w:rFonts w:hint="default" w:ascii="Times New Roman" w:hAnsi="Times New Roman" w:eastAsia="宋体" w:cs="Times New Roman"/>
                <w:color w:val="auto"/>
                <w:kern w:val="0"/>
                <w:szCs w:val="21"/>
                <w:highlight w:val="none"/>
                <w:lang w:eastAsia="zh-CN"/>
              </w:rPr>
              <w:t>.，</w:t>
            </w:r>
            <w:bookmarkStart w:id="71" w:name="OLE_LINK54"/>
            <w:bookmarkStart w:id="72" w:name="OLE_LINK156"/>
            <w:r>
              <w:rPr>
                <w:rFonts w:hint="default" w:ascii="Times New Roman" w:hAnsi="Times New Roman" w:eastAsia="宋体" w:cs="Times New Roman"/>
                <w:color w:val="auto"/>
                <w:kern w:val="0"/>
                <w:szCs w:val="21"/>
                <w:highlight w:val="none"/>
                <w:lang w:val="en-US" w:eastAsia="zh-CN"/>
              </w:rPr>
              <w:t>宜</w:t>
            </w:r>
            <w:bookmarkStart w:id="73" w:name="OLE_LINK57"/>
            <w:r>
              <w:rPr>
                <w:rFonts w:hint="default" w:ascii="Times New Roman" w:hAnsi="Times New Roman" w:eastAsia="宋体" w:cs="Times New Roman"/>
                <w:color w:val="auto"/>
                <w:kern w:val="0"/>
                <w:szCs w:val="21"/>
                <w:highlight w:val="none"/>
              </w:rPr>
              <w:t>配置车挡或阻车器</w:t>
            </w:r>
            <w:bookmarkEnd w:id="73"/>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W</w:t>
            </w:r>
            <w:r>
              <w:rPr>
                <w:rFonts w:hint="default" w:ascii="Times New Roman" w:hAnsi="Times New Roman" w:eastAsia="宋体" w:cs="Times New Roman"/>
                <w:color w:val="auto"/>
                <w:kern w:val="0"/>
                <w:szCs w:val="21"/>
                <w:highlight w:val="none"/>
              </w:rPr>
              <w:t>——车位</w:t>
            </w:r>
            <w:r>
              <w:rPr>
                <w:rFonts w:hint="default" w:ascii="Times New Roman" w:hAnsi="Times New Roman" w:eastAsia="宋体" w:cs="Times New Roman"/>
                <w:color w:val="auto"/>
                <w:kern w:val="0"/>
                <w:szCs w:val="21"/>
                <w:highlight w:val="none"/>
                <w:lang w:val="en-US" w:eastAsia="zh-CN"/>
              </w:rPr>
              <w:t>宽度，L</w:t>
            </w:r>
            <w:r>
              <w:rPr>
                <w:rFonts w:hint="default" w:ascii="Times New Roman" w:hAnsi="Times New Roman" w:eastAsia="宋体" w:cs="Times New Roman"/>
                <w:color w:val="auto"/>
                <w:kern w:val="0"/>
                <w:szCs w:val="21"/>
                <w:highlight w:val="none"/>
              </w:rPr>
              <w:t>——</w:t>
            </w:r>
            <w:bookmarkStart w:id="74" w:name="OLE_LINK164"/>
            <w:r>
              <w:rPr>
                <w:rFonts w:hint="default" w:ascii="Times New Roman" w:hAnsi="Times New Roman" w:eastAsia="宋体" w:cs="Times New Roman"/>
                <w:color w:val="auto"/>
                <w:kern w:val="0"/>
                <w:szCs w:val="21"/>
                <w:highlight w:val="none"/>
              </w:rPr>
              <w:t>车位</w:t>
            </w:r>
            <w:r>
              <w:rPr>
                <w:rFonts w:hint="default" w:ascii="Times New Roman" w:hAnsi="Times New Roman" w:eastAsia="宋体" w:cs="Times New Roman"/>
                <w:color w:val="auto"/>
                <w:kern w:val="0"/>
                <w:szCs w:val="21"/>
                <w:highlight w:val="none"/>
                <w:lang w:val="en-US" w:eastAsia="zh-CN"/>
              </w:rPr>
              <w:t>长度</w:t>
            </w:r>
            <w:r>
              <w:rPr>
                <w:rFonts w:hint="eastAsia" w:eastAsia="宋体" w:cs="Times New Roman"/>
                <w:color w:val="auto"/>
                <w:kern w:val="0"/>
                <w:szCs w:val="21"/>
                <w:highlight w:val="none"/>
                <w:lang w:val="en-US" w:eastAsia="zh-CN"/>
              </w:rPr>
              <w:t>（外径）</w:t>
            </w:r>
            <w:bookmarkEnd w:id="74"/>
            <w:r>
              <w:rPr>
                <w:rFonts w:hint="default" w:ascii="Times New Roman" w:hAnsi="Times New Roman" w:eastAsia="宋体" w:cs="Times New Roman"/>
                <w:color w:val="auto"/>
                <w:kern w:val="0"/>
                <w:szCs w:val="21"/>
                <w:highlight w:val="none"/>
                <w:lang w:val="en-US" w:eastAsia="zh-CN"/>
              </w:rPr>
              <w:t>，具体要求：</w:t>
            </w:r>
            <w:r>
              <w:rPr>
                <w:rFonts w:hint="default" w:ascii="Times New Roman" w:hAnsi="Times New Roman" w:eastAsia="宋体" w:cs="Times New Roman"/>
                <w:color w:val="auto"/>
                <w:kern w:val="0"/>
                <w:szCs w:val="21"/>
                <w:highlight w:val="none"/>
                <w:lang w:val="en-US" w:eastAsia="zh-CN"/>
              </w:rPr>
              <w:br w:type="textWrapping"/>
            </w:r>
            <w:bookmarkStart w:id="75" w:name="OLE_LINK61"/>
            <w:r>
              <w:rPr>
                <w:rFonts w:hint="default" w:ascii="Times New Roman" w:hAnsi="Times New Roman" w:eastAsia="宋体" w:cs="Times New Roman"/>
                <w:color w:val="auto"/>
                <w:kern w:val="0"/>
                <w:szCs w:val="21"/>
                <w:highlight w:val="none"/>
                <w:lang w:val="en-US" w:eastAsia="zh-CN"/>
              </w:rPr>
              <w:t>乘用车</w:t>
            </w:r>
            <w:bookmarkEnd w:id="71"/>
            <w:r>
              <w:rPr>
                <w:rFonts w:hint="default" w:ascii="Times New Roman" w:hAnsi="Times New Roman" w:eastAsia="宋体" w:cs="Times New Roman"/>
                <w:color w:val="auto"/>
                <w:kern w:val="0"/>
                <w:szCs w:val="21"/>
                <w:highlight w:val="none"/>
                <w:lang w:val="en-US" w:eastAsia="zh-CN"/>
              </w:rPr>
              <w:t>充电</w:t>
            </w:r>
            <w:r>
              <w:rPr>
                <w:rFonts w:hint="default" w:ascii="Times New Roman" w:hAnsi="Times New Roman" w:eastAsia="宋体" w:cs="Times New Roman"/>
                <w:color w:val="auto"/>
                <w:kern w:val="0"/>
                <w:szCs w:val="21"/>
                <w:highlight w:val="none"/>
              </w:rPr>
              <w:t>车位</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val="en-US" w:eastAsia="zh-CN"/>
              </w:rPr>
              <w:t>W</w:t>
            </w:r>
            <w:bookmarkStart w:id="76" w:name="OLE_LINK58"/>
            <w:r>
              <w:rPr>
                <w:rFonts w:hint="default" w:ascii="Times New Roman" w:hAnsi="Times New Roman" w:eastAsia="宋体" w:cs="Times New Roman"/>
                <w:color w:val="auto"/>
                <w:kern w:val="0"/>
                <w:szCs w:val="21"/>
                <w:highlight w:val="none"/>
                <w:lang w:val="en-US" w:eastAsia="zh-CN"/>
              </w:rPr>
              <w:t>≥</w:t>
            </w:r>
            <w:bookmarkEnd w:id="76"/>
            <w:r>
              <w:rPr>
                <w:rFonts w:hint="default" w:ascii="Times New Roman" w:hAnsi="Times New Roman" w:eastAsia="宋体" w:cs="Times New Roman"/>
                <w:color w:val="auto"/>
                <w:kern w:val="0"/>
                <w:szCs w:val="21"/>
                <w:highlight w:val="none"/>
              </w:rPr>
              <w:t>2.5m，</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w:t>
            </w:r>
            <w:r>
              <w:rPr>
                <w:rFonts w:hint="default" w:ascii="Times New Roman" w:hAnsi="Times New Roman" w:eastAsia="宋体" w:cs="Times New Roman"/>
                <w:color w:val="auto"/>
                <w:kern w:val="0"/>
                <w:szCs w:val="21"/>
                <w:highlight w:val="none"/>
              </w:rPr>
              <w:t>5.3m</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rPr>
              <w:br w:type="textWrapping"/>
            </w:r>
            <w:bookmarkStart w:id="77" w:name="OLE_LINK56"/>
            <w:r>
              <w:rPr>
                <w:rFonts w:hint="default" w:ascii="Times New Roman" w:hAnsi="Times New Roman" w:eastAsia="宋体" w:cs="Times New Roman"/>
                <w:color w:val="auto"/>
                <w:kern w:val="0"/>
                <w:szCs w:val="21"/>
                <w:highlight w:val="none"/>
                <w:lang w:val="en-US" w:eastAsia="zh-CN"/>
              </w:rPr>
              <w:t>轻型</w:t>
            </w:r>
            <w:bookmarkEnd w:id="77"/>
            <w:r>
              <w:rPr>
                <w:rFonts w:hint="default" w:ascii="Times New Roman" w:hAnsi="Times New Roman" w:eastAsia="宋体" w:cs="Times New Roman"/>
                <w:color w:val="auto"/>
                <w:kern w:val="0"/>
                <w:szCs w:val="21"/>
                <w:highlight w:val="none"/>
                <w:lang w:val="en-US" w:eastAsia="zh-CN"/>
              </w:rPr>
              <w:t>商用车车位</w:t>
            </w:r>
            <w:bookmarkStart w:id="78" w:name="OLE_LINK55"/>
            <w:r>
              <w:rPr>
                <w:rFonts w:hint="default" w:ascii="Times New Roman" w:hAnsi="Times New Roman" w:eastAsia="宋体" w:cs="Times New Roman"/>
                <w:color w:val="auto"/>
                <w:kern w:val="0"/>
                <w:szCs w:val="21"/>
                <w:highlight w:val="none"/>
                <w:lang w:val="en-US" w:eastAsia="zh-CN"/>
              </w:rPr>
              <w:t>：W≥3.25</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≥15.6</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w:t>
            </w:r>
          </w:p>
          <w:bookmarkEnd w:id="78"/>
          <w:p w14:paraId="4377390B">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bookmarkStart w:id="79" w:name="OLE_LINK63"/>
            <w:r>
              <w:rPr>
                <w:rFonts w:hint="default" w:ascii="Times New Roman" w:hAnsi="Times New Roman" w:eastAsia="宋体" w:cs="Times New Roman"/>
                <w:color w:val="auto"/>
                <w:kern w:val="0"/>
                <w:szCs w:val="21"/>
                <w:highlight w:val="none"/>
              </w:rPr>
              <w:t>重型商用车</w:t>
            </w:r>
            <w:r>
              <w:rPr>
                <w:rFonts w:hint="default" w:ascii="Times New Roman" w:hAnsi="Times New Roman" w:eastAsia="宋体" w:cs="Times New Roman"/>
                <w:color w:val="auto"/>
                <w:kern w:val="0"/>
                <w:szCs w:val="21"/>
                <w:highlight w:val="none"/>
                <w:lang w:val="en-US" w:eastAsia="zh-CN"/>
              </w:rPr>
              <w:t>车位：W≥4</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≥18</w:t>
            </w:r>
            <w:r>
              <w:rPr>
                <w:rFonts w:hint="default" w:ascii="Times New Roman" w:hAnsi="Times New Roman" w:eastAsia="宋体" w:cs="Times New Roman"/>
                <w:color w:val="auto"/>
                <w:kern w:val="0"/>
                <w:szCs w:val="21"/>
                <w:highlight w:val="none"/>
              </w:rPr>
              <w:t>m</w:t>
            </w:r>
            <w:bookmarkEnd w:id="79"/>
            <w:r>
              <w:rPr>
                <w:rFonts w:hint="default" w:ascii="Times New Roman" w:hAnsi="Times New Roman" w:eastAsia="宋体" w:cs="Times New Roman"/>
                <w:color w:val="auto"/>
                <w:kern w:val="0"/>
                <w:szCs w:val="21"/>
                <w:highlight w:val="none"/>
                <w:lang w:eastAsia="zh-CN"/>
              </w:rPr>
              <w:t>。</w:t>
            </w:r>
            <w:bookmarkEnd w:id="69"/>
            <w:bookmarkEnd w:id="72"/>
            <w:bookmarkEnd w:id="75"/>
          </w:p>
        </w:tc>
        <w:tc>
          <w:tcPr>
            <w:tcW w:w="2517" w:type="dxa"/>
            <w:gridSpan w:val="2"/>
            <w:tcBorders>
              <w:top w:val="nil"/>
              <w:left w:val="nil"/>
              <w:bottom w:val="single" w:color="auto" w:sz="4" w:space="0"/>
              <w:right w:val="single" w:color="auto" w:sz="4" w:space="0"/>
            </w:tcBorders>
            <w:shd w:val="clear" w:color="000000" w:fill="FFFFFF"/>
            <w:vAlign w:val="center"/>
          </w:tcPr>
          <w:p w14:paraId="61B753BE">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eastAsia" w:eastAsia="宋体" w:cs="Times New Roman"/>
                <w:color w:val="auto"/>
                <w:kern w:val="0"/>
                <w:szCs w:val="21"/>
                <w:highlight w:val="none"/>
                <w:lang w:val="en-US" w:eastAsia="zh-CN"/>
              </w:rPr>
              <w:t>乘用车充电车位</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val="en-US" w:eastAsia="zh-CN"/>
              </w:rPr>
              <w:t>W</w:t>
            </w:r>
            <w:bookmarkStart w:id="80" w:name="OLE_LINK65"/>
            <w:r>
              <w:rPr>
                <w:rFonts w:hint="default" w:ascii="Times New Roman" w:hAnsi="Times New Roman" w:eastAsia="宋体" w:cs="Times New Roman"/>
                <w:color w:val="auto"/>
                <w:kern w:val="0"/>
                <w:szCs w:val="21"/>
                <w:highlight w:val="none"/>
                <w:lang w:val="en-US" w:eastAsia="zh-CN"/>
              </w:rPr>
              <w:t>＜</w:t>
            </w:r>
            <w:bookmarkEnd w:id="80"/>
            <w:r>
              <w:rPr>
                <w:rFonts w:hint="default" w:ascii="Times New Roman" w:hAnsi="Times New Roman" w:eastAsia="宋体" w:cs="Times New Roman"/>
                <w:color w:val="auto"/>
                <w:kern w:val="0"/>
                <w:szCs w:val="21"/>
                <w:highlight w:val="none"/>
              </w:rPr>
              <w:t>2.5m</w:t>
            </w:r>
            <w:bookmarkStart w:id="81" w:name="OLE_LINK81"/>
            <w:r>
              <w:rPr>
                <w:rFonts w:hint="default" w:ascii="Times New Roman" w:hAnsi="Times New Roman" w:eastAsia="宋体" w:cs="Times New Roman"/>
                <w:color w:val="auto"/>
                <w:kern w:val="0"/>
                <w:szCs w:val="21"/>
                <w:highlight w:val="none"/>
                <w:lang w:val="en-US" w:eastAsia="zh-CN"/>
              </w:rPr>
              <w:t>或</w:t>
            </w:r>
            <w:bookmarkEnd w:id="81"/>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w:t>
            </w:r>
            <w:r>
              <w:rPr>
                <w:rFonts w:hint="default" w:ascii="Times New Roman" w:hAnsi="Times New Roman" w:eastAsia="宋体" w:cs="Times New Roman"/>
                <w:color w:val="auto"/>
                <w:kern w:val="0"/>
                <w:szCs w:val="21"/>
                <w:highlight w:val="none"/>
              </w:rPr>
              <w:t>5.3m</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rPr>
              <w:br w:type="textWrapping"/>
            </w:r>
            <w:r>
              <w:rPr>
                <w:rFonts w:hint="default" w:ascii="Times New Roman" w:hAnsi="Times New Roman" w:eastAsia="宋体" w:cs="Times New Roman"/>
                <w:color w:val="auto"/>
                <w:kern w:val="0"/>
                <w:szCs w:val="21"/>
                <w:highlight w:val="none"/>
                <w:lang w:val="en-US" w:eastAsia="zh-CN"/>
              </w:rPr>
              <w:t>轻型商用车车位：W</w:t>
            </w:r>
            <w:bookmarkStart w:id="82" w:name="OLE_LINK62"/>
            <w:r>
              <w:rPr>
                <w:rFonts w:hint="default" w:ascii="Times New Roman" w:hAnsi="Times New Roman" w:eastAsia="宋体" w:cs="Times New Roman"/>
                <w:color w:val="auto"/>
                <w:kern w:val="0"/>
                <w:szCs w:val="21"/>
                <w:highlight w:val="none"/>
                <w:lang w:val="en-US" w:eastAsia="zh-CN"/>
              </w:rPr>
              <w:t>＜</w:t>
            </w:r>
            <w:bookmarkEnd w:id="82"/>
            <w:r>
              <w:rPr>
                <w:rFonts w:hint="default" w:ascii="Times New Roman" w:hAnsi="Times New Roman" w:eastAsia="宋体" w:cs="Times New Roman"/>
                <w:color w:val="auto"/>
                <w:kern w:val="0"/>
                <w:szCs w:val="21"/>
                <w:highlight w:val="none"/>
                <w:lang w:val="en-US" w:eastAsia="zh-CN"/>
              </w:rPr>
              <w:t>3.25</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val="en-US" w:eastAsia="zh-CN"/>
              </w:rPr>
              <w:t>或</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＜15.6</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eastAsia="zh-CN"/>
              </w:rPr>
              <w:br w:type="textWrapping"/>
            </w:r>
            <w:r>
              <w:rPr>
                <w:rFonts w:hint="default" w:ascii="Times New Roman" w:hAnsi="Times New Roman" w:eastAsia="宋体" w:cs="Times New Roman"/>
                <w:color w:val="auto"/>
                <w:kern w:val="0"/>
                <w:szCs w:val="21"/>
                <w:highlight w:val="none"/>
              </w:rPr>
              <w:t>重型商用车</w:t>
            </w:r>
            <w:r>
              <w:rPr>
                <w:rFonts w:hint="default" w:ascii="Times New Roman" w:hAnsi="Times New Roman" w:eastAsia="宋体" w:cs="Times New Roman"/>
                <w:color w:val="auto"/>
                <w:kern w:val="0"/>
                <w:szCs w:val="21"/>
                <w:highlight w:val="none"/>
                <w:lang w:val="en-US" w:eastAsia="zh-CN"/>
              </w:rPr>
              <w:t>车位：W＜4</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val="en-US" w:eastAsia="zh-CN"/>
              </w:rPr>
              <w:t>或</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＜18</w:t>
            </w:r>
            <w:r>
              <w:rPr>
                <w:rFonts w:hint="default" w:ascii="Times New Roman" w:hAnsi="Times New Roman" w:eastAsia="宋体" w:cs="Times New Roman"/>
                <w:color w:val="auto"/>
                <w:kern w:val="0"/>
                <w:szCs w:val="21"/>
                <w:highlight w:val="none"/>
              </w:rPr>
              <w:t>m</w:t>
            </w:r>
            <w:bookmarkStart w:id="83" w:name="OLE_LINK82"/>
            <w:r>
              <w:rPr>
                <w:rFonts w:hint="default" w:ascii="Times New Roman" w:hAnsi="Times New Roman" w:eastAsia="宋体" w:cs="Times New Roman"/>
                <w:color w:val="auto"/>
                <w:kern w:val="0"/>
                <w:szCs w:val="21"/>
                <w:highlight w:val="none"/>
                <w:lang w:eastAsia="zh-CN"/>
              </w:rPr>
              <w:t>；</w:t>
            </w:r>
            <w:bookmarkEnd w:id="83"/>
            <w:bookmarkStart w:id="84" w:name="OLE_LINK64"/>
            <w:r>
              <w:rPr>
                <w:rFonts w:hint="default" w:ascii="Times New Roman" w:hAnsi="Times New Roman" w:eastAsia="宋体" w:cs="Times New Roman"/>
                <w:color w:val="auto"/>
                <w:kern w:val="0"/>
                <w:szCs w:val="21"/>
                <w:highlight w:val="none"/>
                <w:lang w:val="en-US" w:eastAsia="zh-CN"/>
              </w:rPr>
              <w:t>未</w:t>
            </w:r>
            <w:bookmarkStart w:id="85" w:name="OLE_LINK66"/>
            <w:r>
              <w:rPr>
                <w:rFonts w:hint="default" w:ascii="Times New Roman" w:hAnsi="Times New Roman" w:eastAsia="宋体" w:cs="Times New Roman"/>
                <w:color w:val="auto"/>
                <w:kern w:val="0"/>
                <w:szCs w:val="21"/>
                <w:highlight w:val="none"/>
              </w:rPr>
              <w:t>配置车挡或阻车器</w:t>
            </w:r>
            <w:bookmarkEnd w:id="84"/>
            <w:bookmarkEnd w:id="85"/>
            <w:r>
              <w:rPr>
                <w:rFonts w:hint="default" w:ascii="Times New Roman" w:hAnsi="Times New Roman" w:eastAsia="宋体" w:cs="Times New Roman"/>
                <w:color w:val="auto"/>
                <w:kern w:val="0"/>
                <w:szCs w:val="21"/>
                <w:highlight w:val="none"/>
                <w:lang w:eastAsia="zh-CN"/>
              </w:rPr>
              <w:t>。</w:t>
            </w:r>
          </w:p>
        </w:tc>
        <w:tc>
          <w:tcPr>
            <w:tcW w:w="1170" w:type="dxa"/>
            <w:tcBorders>
              <w:top w:val="nil"/>
              <w:left w:val="nil"/>
              <w:bottom w:val="single" w:color="auto" w:sz="4" w:space="0"/>
              <w:right w:val="single" w:color="auto" w:sz="4" w:space="0"/>
            </w:tcBorders>
            <w:shd w:val="clear" w:color="000000" w:fill="FFFFFF"/>
            <w:vAlign w:val="center"/>
          </w:tcPr>
          <w:p w14:paraId="04F34B9F">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lang w:eastAsia="zh-CN"/>
              </w:rPr>
            </w:pPr>
            <w:r>
              <w:rPr>
                <w:rFonts w:hint="eastAsia" w:eastAsia="宋体" w:cs="Times New Roman"/>
                <w:color w:val="auto"/>
                <w:kern w:val="0"/>
                <w:szCs w:val="21"/>
                <w:highlight w:val="none"/>
                <w:lang w:val="en-US" w:eastAsia="zh-CN"/>
              </w:rPr>
              <w:t>乘用车充电车位</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val="en-US" w:eastAsia="zh-CN"/>
              </w:rPr>
              <w:t>W＜</w:t>
            </w:r>
            <w:r>
              <w:rPr>
                <w:rFonts w:hint="default" w:ascii="Times New Roman" w:hAnsi="Times New Roman" w:eastAsia="宋体" w:cs="Times New Roman"/>
                <w:color w:val="auto"/>
                <w:kern w:val="0"/>
                <w:szCs w:val="21"/>
                <w:highlight w:val="none"/>
              </w:rPr>
              <w:t>2.5m</w:t>
            </w:r>
            <w:r>
              <w:rPr>
                <w:rFonts w:hint="default" w:ascii="Times New Roman" w:hAnsi="Times New Roman" w:eastAsia="宋体" w:cs="Times New Roman"/>
                <w:color w:val="auto"/>
                <w:kern w:val="0"/>
                <w:szCs w:val="21"/>
                <w:highlight w:val="none"/>
                <w:lang w:val="en-US" w:eastAsia="zh-CN"/>
              </w:rPr>
              <w:t>或</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w:t>
            </w:r>
            <w:r>
              <w:rPr>
                <w:rFonts w:hint="default" w:ascii="Times New Roman" w:hAnsi="Times New Roman" w:eastAsia="宋体" w:cs="Times New Roman"/>
                <w:color w:val="auto"/>
                <w:kern w:val="0"/>
                <w:szCs w:val="21"/>
                <w:highlight w:val="none"/>
              </w:rPr>
              <w:t>5.3m</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rPr>
              <w:br w:type="textWrapping"/>
            </w:r>
            <w:r>
              <w:rPr>
                <w:rFonts w:hint="default" w:ascii="Times New Roman" w:hAnsi="Times New Roman" w:eastAsia="宋体" w:cs="Times New Roman"/>
                <w:color w:val="auto"/>
                <w:kern w:val="0"/>
                <w:szCs w:val="21"/>
                <w:highlight w:val="none"/>
                <w:lang w:val="en-US" w:eastAsia="zh-CN"/>
              </w:rPr>
              <w:t>轻型商用车车位：W＜3.25</w:t>
            </w:r>
            <w:r>
              <w:rPr>
                <w:rFonts w:hint="default" w:ascii="Times New Roman" w:hAnsi="Times New Roman" w:eastAsia="宋体" w:cs="Times New Roman"/>
                <w:color w:val="auto"/>
                <w:kern w:val="0"/>
                <w:szCs w:val="21"/>
                <w:highlight w:val="none"/>
              </w:rPr>
              <w:t>m</w:t>
            </w:r>
            <w:bookmarkStart w:id="86" w:name="OLE_LINK80"/>
            <w:r>
              <w:rPr>
                <w:rFonts w:hint="default" w:ascii="Times New Roman" w:hAnsi="Times New Roman" w:eastAsia="宋体" w:cs="Times New Roman"/>
                <w:color w:val="auto"/>
                <w:kern w:val="0"/>
                <w:szCs w:val="21"/>
                <w:highlight w:val="none"/>
                <w:lang w:val="en-US" w:eastAsia="zh-CN"/>
              </w:rPr>
              <w:t>或</w:t>
            </w:r>
            <w:bookmarkEnd w:id="86"/>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＜15.6</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w:t>
            </w:r>
          </w:p>
          <w:p w14:paraId="0B3A2F5C">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Cs w:val="21"/>
                <w:highlight w:val="none"/>
              </w:rPr>
              <w:t>重型商用车</w:t>
            </w:r>
            <w:r>
              <w:rPr>
                <w:rFonts w:hint="default" w:ascii="Times New Roman" w:hAnsi="Times New Roman" w:eastAsia="宋体" w:cs="Times New Roman"/>
                <w:color w:val="auto"/>
                <w:kern w:val="0"/>
                <w:szCs w:val="21"/>
                <w:highlight w:val="none"/>
                <w:lang w:val="en-US" w:eastAsia="zh-CN"/>
              </w:rPr>
              <w:t>车位：W＜4</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val="en-US" w:eastAsia="zh-CN"/>
              </w:rPr>
              <w:t>或</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＜18</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rPr>
              <w:t>配置车挡或阻车器</w:t>
            </w:r>
            <w:r>
              <w:rPr>
                <w:rFonts w:hint="default" w:ascii="Times New Roman" w:hAnsi="Times New Roman" w:eastAsia="宋体" w:cs="Times New Roman"/>
                <w:color w:val="auto"/>
                <w:kern w:val="0"/>
                <w:szCs w:val="21"/>
                <w:highlight w:val="none"/>
                <w:lang w:eastAsia="zh-CN"/>
              </w:rPr>
              <w:t>。</w:t>
            </w:r>
          </w:p>
        </w:tc>
        <w:tc>
          <w:tcPr>
            <w:tcW w:w="1240" w:type="dxa"/>
            <w:tcBorders>
              <w:top w:val="nil"/>
              <w:left w:val="nil"/>
              <w:bottom w:val="single" w:color="auto" w:sz="4" w:space="0"/>
              <w:right w:val="single" w:color="auto" w:sz="4" w:space="0"/>
            </w:tcBorders>
            <w:shd w:val="clear" w:color="000000" w:fill="FFFFFF"/>
            <w:vAlign w:val="center"/>
          </w:tcPr>
          <w:p w14:paraId="4FEBD21B">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lang w:eastAsia="zh-CN"/>
              </w:rPr>
            </w:pPr>
            <w:r>
              <w:rPr>
                <w:rFonts w:hint="eastAsia" w:eastAsia="宋体" w:cs="Times New Roman"/>
                <w:color w:val="auto"/>
                <w:kern w:val="0"/>
                <w:szCs w:val="21"/>
                <w:highlight w:val="none"/>
                <w:lang w:val="en-US" w:eastAsia="zh-CN"/>
              </w:rPr>
              <w:t>乘用车充电车位</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val="en-US" w:eastAsia="zh-CN"/>
              </w:rPr>
              <w:t>W≥</w:t>
            </w:r>
            <w:r>
              <w:rPr>
                <w:rFonts w:hint="default" w:ascii="Times New Roman" w:hAnsi="Times New Roman" w:eastAsia="宋体" w:cs="Times New Roman"/>
                <w:color w:val="auto"/>
                <w:kern w:val="0"/>
                <w:szCs w:val="21"/>
                <w:highlight w:val="none"/>
              </w:rPr>
              <w:t>2.5m，</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w:t>
            </w:r>
            <w:r>
              <w:rPr>
                <w:rFonts w:hint="default" w:ascii="Times New Roman" w:hAnsi="Times New Roman" w:eastAsia="宋体" w:cs="Times New Roman"/>
                <w:color w:val="auto"/>
                <w:kern w:val="0"/>
                <w:szCs w:val="21"/>
                <w:highlight w:val="none"/>
              </w:rPr>
              <w:t>5.3m</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rPr>
              <w:br w:type="textWrapping"/>
            </w:r>
            <w:r>
              <w:rPr>
                <w:rFonts w:hint="default" w:ascii="Times New Roman" w:hAnsi="Times New Roman" w:eastAsia="宋体" w:cs="Times New Roman"/>
                <w:color w:val="auto"/>
                <w:kern w:val="0"/>
                <w:szCs w:val="21"/>
                <w:highlight w:val="none"/>
                <w:lang w:val="en-US" w:eastAsia="zh-CN"/>
              </w:rPr>
              <w:t>轻型商用车车位：W≥3.25</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≥15.6</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w:t>
            </w:r>
          </w:p>
          <w:p w14:paraId="75B6915C">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重型商用车</w:t>
            </w:r>
            <w:r>
              <w:rPr>
                <w:rFonts w:hint="default" w:ascii="Times New Roman" w:hAnsi="Times New Roman" w:eastAsia="宋体" w:cs="Times New Roman"/>
                <w:color w:val="auto"/>
                <w:kern w:val="0"/>
                <w:szCs w:val="21"/>
                <w:highlight w:val="none"/>
                <w:lang w:val="en-US" w:eastAsia="zh-CN"/>
              </w:rPr>
              <w:t>车位：W≥4</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≥18</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val="en-US" w:eastAsia="zh-CN"/>
              </w:rPr>
              <w:t>未</w:t>
            </w:r>
            <w:bookmarkStart w:id="87" w:name="OLE_LINK68"/>
            <w:r>
              <w:rPr>
                <w:rFonts w:hint="default" w:ascii="Times New Roman" w:hAnsi="Times New Roman" w:eastAsia="宋体" w:cs="Times New Roman"/>
                <w:color w:val="auto"/>
                <w:kern w:val="0"/>
                <w:szCs w:val="21"/>
                <w:highlight w:val="none"/>
              </w:rPr>
              <w:t>配置车挡或阻车器</w:t>
            </w:r>
            <w:bookmarkEnd w:id="87"/>
            <w:r>
              <w:rPr>
                <w:rFonts w:hint="default" w:ascii="Times New Roman" w:hAnsi="Times New Roman" w:eastAsia="宋体" w:cs="Times New Roman"/>
                <w:color w:val="auto"/>
                <w:kern w:val="0"/>
                <w:szCs w:val="21"/>
                <w:highlight w:val="none"/>
                <w:lang w:eastAsia="zh-CN"/>
              </w:rPr>
              <w:t>。</w:t>
            </w:r>
          </w:p>
        </w:tc>
        <w:tc>
          <w:tcPr>
            <w:tcW w:w="1064" w:type="dxa"/>
            <w:tcBorders>
              <w:top w:val="nil"/>
              <w:left w:val="nil"/>
              <w:bottom w:val="single" w:color="auto" w:sz="4" w:space="0"/>
              <w:right w:val="single" w:color="auto" w:sz="4" w:space="0"/>
            </w:tcBorders>
            <w:shd w:val="clear" w:color="000000" w:fill="FFFFFF"/>
            <w:vAlign w:val="center"/>
          </w:tcPr>
          <w:p w14:paraId="099334FF">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lang w:eastAsia="zh-CN"/>
              </w:rPr>
            </w:pPr>
            <w:r>
              <w:rPr>
                <w:rFonts w:hint="eastAsia" w:eastAsia="宋体" w:cs="Times New Roman"/>
                <w:color w:val="auto"/>
                <w:kern w:val="0"/>
                <w:szCs w:val="21"/>
                <w:highlight w:val="none"/>
                <w:lang w:val="en-US" w:eastAsia="zh-CN"/>
              </w:rPr>
              <w:t>乘用车充电车位</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val="en-US" w:eastAsia="zh-CN"/>
              </w:rPr>
              <w:t>W≥</w:t>
            </w:r>
            <w:r>
              <w:rPr>
                <w:rFonts w:hint="default" w:ascii="Times New Roman" w:hAnsi="Times New Roman" w:eastAsia="宋体" w:cs="Times New Roman"/>
                <w:color w:val="auto"/>
                <w:kern w:val="0"/>
                <w:szCs w:val="21"/>
                <w:highlight w:val="none"/>
              </w:rPr>
              <w:t>2.5m，</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w:t>
            </w:r>
            <w:r>
              <w:rPr>
                <w:rFonts w:hint="default" w:ascii="Times New Roman" w:hAnsi="Times New Roman" w:eastAsia="宋体" w:cs="Times New Roman"/>
                <w:color w:val="auto"/>
                <w:kern w:val="0"/>
                <w:szCs w:val="21"/>
                <w:highlight w:val="none"/>
              </w:rPr>
              <w:t>5.3m</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rPr>
              <w:br w:type="textWrapping"/>
            </w:r>
            <w:r>
              <w:rPr>
                <w:rFonts w:hint="default" w:ascii="Times New Roman" w:hAnsi="Times New Roman" w:eastAsia="宋体" w:cs="Times New Roman"/>
                <w:color w:val="auto"/>
                <w:kern w:val="0"/>
                <w:szCs w:val="21"/>
                <w:highlight w:val="none"/>
                <w:lang w:val="en-US" w:eastAsia="zh-CN"/>
              </w:rPr>
              <w:t>轻型商用车车位：W≥3.25</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≥15.6</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w:t>
            </w:r>
          </w:p>
          <w:p w14:paraId="71195AA6">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重型商用车</w:t>
            </w:r>
            <w:r>
              <w:rPr>
                <w:rFonts w:hint="default" w:ascii="Times New Roman" w:hAnsi="Times New Roman" w:eastAsia="宋体" w:cs="Times New Roman"/>
                <w:color w:val="auto"/>
                <w:kern w:val="0"/>
                <w:szCs w:val="21"/>
                <w:highlight w:val="none"/>
                <w:lang w:val="en-US" w:eastAsia="zh-CN"/>
              </w:rPr>
              <w:t>车位：W≥4</w:t>
            </w:r>
            <w:r>
              <w:rPr>
                <w:rFonts w:hint="default" w:ascii="Times New Roman" w:hAnsi="Times New Roman" w:eastAsia="宋体" w:cs="Times New Roman"/>
                <w:color w:val="auto"/>
                <w:kern w:val="0"/>
                <w:szCs w:val="21"/>
                <w:highlight w:val="none"/>
              </w:rPr>
              <w:t>m，</w:t>
            </w:r>
            <w:r>
              <w:rPr>
                <w:rFonts w:hint="default" w:ascii="Times New Roman" w:hAnsi="Times New Roman" w:eastAsia="宋体" w:cs="Times New Roman"/>
                <w:color w:val="auto"/>
                <w:kern w:val="0"/>
                <w:szCs w:val="21"/>
                <w:highlight w:val="none"/>
                <w:lang w:eastAsia="zh-CN"/>
              </w:rPr>
              <w:t>L</w:t>
            </w:r>
            <w:r>
              <w:rPr>
                <w:rFonts w:hint="default" w:ascii="Times New Roman" w:hAnsi="Times New Roman" w:eastAsia="宋体" w:cs="Times New Roman"/>
                <w:color w:val="auto"/>
                <w:kern w:val="0"/>
                <w:szCs w:val="21"/>
                <w:highlight w:val="none"/>
                <w:lang w:val="en-US" w:eastAsia="zh-CN"/>
              </w:rPr>
              <w:t>≥18</w:t>
            </w:r>
            <w:r>
              <w:rPr>
                <w:rFonts w:hint="default" w:ascii="Times New Roman" w:hAnsi="Times New Roman" w:eastAsia="宋体" w:cs="Times New Roman"/>
                <w:color w:val="auto"/>
                <w:kern w:val="0"/>
                <w:szCs w:val="21"/>
                <w:highlight w:val="none"/>
              </w:rPr>
              <w:t>m</w:t>
            </w:r>
            <w:bookmarkStart w:id="88" w:name="OLE_LINK67"/>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rPr>
              <w:t>配置车挡或阻车器</w:t>
            </w:r>
            <w:r>
              <w:rPr>
                <w:rFonts w:hint="default" w:ascii="Times New Roman" w:hAnsi="Times New Roman" w:eastAsia="宋体" w:cs="Times New Roman"/>
                <w:color w:val="auto"/>
                <w:kern w:val="0"/>
                <w:szCs w:val="21"/>
                <w:highlight w:val="none"/>
                <w:lang w:eastAsia="zh-CN"/>
              </w:rPr>
              <w:t>。</w:t>
            </w:r>
            <w:bookmarkEnd w:id="88"/>
          </w:p>
        </w:tc>
      </w:tr>
      <w:tr w14:paraId="6B617473">
        <w:tblPrEx>
          <w:tblCellMar>
            <w:top w:w="0" w:type="dxa"/>
            <w:left w:w="108" w:type="dxa"/>
            <w:bottom w:w="0" w:type="dxa"/>
            <w:right w:w="108" w:type="dxa"/>
          </w:tblCellMar>
        </w:tblPrEx>
        <w:trPr>
          <w:trHeight w:val="690" w:hRule="atLeast"/>
          <w:jc w:val="center"/>
        </w:trPr>
        <w:tc>
          <w:tcPr>
            <w:tcW w:w="1141" w:type="dxa"/>
            <w:vMerge w:val="restart"/>
            <w:tcBorders>
              <w:top w:val="nil"/>
              <w:left w:val="single" w:color="auto" w:sz="4" w:space="0"/>
              <w:right w:val="single" w:color="auto" w:sz="4" w:space="0"/>
            </w:tcBorders>
            <w:vAlign w:val="center"/>
          </w:tcPr>
          <w:p w14:paraId="48C2CA5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89" w:name="OLE_LINK105"/>
            <w:bookmarkStart w:id="90" w:name="OLE_LINK76" w:colFirst="6" w:colLast="7"/>
            <w:r>
              <w:rPr>
                <w:rFonts w:hint="default" w:ascii="Times New Roman" w:hAnsi="Times New Roman" w:eastAsia="宋体" w:cs="Times New Roman"/>
                <w:color w:val="auto"/>
                <w:kern w:val="0"/>
                <w:szCs w:val="21"/>
                <w:highlight w:val="none"/>
              </w:rPr>
              <w:t>充电终端</w:t>
            </w:r>
          </w:p>
          <w:bookmarkEnd w:id="89"/>
          <w:p w14:paraId="4CB16F3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（12分值）</w:t>
            </w:r>
          </w:p>
        </w:tc>
        <w:tc>
          <w:tcPr>
            <w:tcW w:w="1955" w:type="dxa"/>
            <w:tcBorders>
              <w:top w:val="nil"/>
              <w:left w:val="nil"/>
              <w:bottom w:val="single" w:color="auto" w:sz="4" w:space="0"/>
              <w:right w:val="single" w:color="auto" w:sz="4" w:space="0"/>
            </w:tcBorders>
            <w:shd w:val="clear" w:color="000000" w:fill="FFFFFF"/>
            <w:noWrap/>
            <w:vAlign w:val="center"/>
          </w:tcPr>
          <w:p w14:paraId="76876D6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91" w:name="OLE_LINK135"/>
            <w:r>
              <w:rPr>
                <w:rFonts w:hint="default" w:ascii="Times New Roman" w:hAnsi="Times New Roman" w:eastAsia="宋体" w:cs="Times New Roman"/>
                <w:color w:val="auto"/>
                <w:kern w:val="0"/>
                <w:szCs w:val="21"/>
                <w:highlight w:val="none"/>
              </w:rPr>
              <w:t>平均单枪</w:t>
            </w:r>
            <w:r>
              <w:rPr>
                <w:rFonts w:hint="default" w:ascii="Times New Roman" w:hAnsi="Times New Roman" w:eastAsia="宋体" w:cs="Times New Roman"/>
                <w:color w:val="auto"/>
                <w:kern w:val="0"/>
                <w:szCs w:val="21"/>
                <w:highlight w:val="none"/>
                <w:lang w:val="en-US" w:eastAsia="zh-CN"/>
              </w:rPr>
              <w:t>最大</w:t>
            </w:r>
            <w:r>
              <w:rPr>
                <w:rFonts w:hint="default" w:ascii="Times New Roman" w:hAnsi="Times New Roman" w:eastAsia="宋体" w:cs="Times New Roman"/>
                <w:color w:val="auto"/>
                <w:kern w:val="0"/>
                <w:szCs w:val="21"/>
                <w:highlight w:val="none"/>
              </w:rPr>
              <w:t>充电功率</w:t>
            </w:r>
            <w:bookmarkEnd w:id="91"/>
            <w:r>
              <w:rPr>
                <w:rFonts w:hint="default" w:ascii="Times New Roman" w:hAnsi="Times New Roman" w:eastAsia="宋体" w:cs="Times New Roman"/>
                <w:color w:val="auto"/>
                <w:kern w:val="0"/>
                <w:szCs w:val="21"/>
                <w:highlight w:val="none"/>
              </w:rPr>
              <w:t>（6分值）</w:t>
            </w:r>
          </w:p>
        </w:tc>
        <w:tc>
          <w:tcPr>
            <w:tcW w:w="4872" w:type="dxa"/>
            <w:tcBorders>
              <w:top w:val="nil"/>
              <w:left w:val="nil"/>
              <w:bottom w:val="single" w:color="auto" w:sz="4" w:space="0"/>
              <w:right w:val="single" w:color="auto" w:sz="4" w:space="0"/>
            </w:tcBorders>
            <w:shd w:val="clear" w:color="000000" w:fill="FFFFFF"/>
            <w:vAlign w:val="center"/>
          </w:tcPr>
          <w:p w14:paraId="27A67DC7">
            <w:pPr>
              <w:keepLines w:val="0"/>
              <w:pageBreakBefore w:val="0"/>
              <w:widowControl/>
              <w:tabs>
                <w:tab w:val="left" w:pos="2826"/>
              </w:tabs>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bookmarkStart w:id="92" w:name="OLE_LINK136"/>
            <w:r>
              <w:rPr>
                <w:rFonts w:hint="default" w:ascii="Times New Roman" w:hAnsi="Times New Roman" w:eastAsia="宋体" w:cs="Times New Roman"/>
                <w:color w:val="auto"/>
                <w:kern w:val="0"/>
                <w:szCs w:val="21"/>
                <w:highlight w:val="none"/>
              </w:rPr>
              <w:t>以充电场站内充电枪的单枪最大充电功率P</w:t>
            </w:r>
            <w:r>
              <w:rPr>
                <w:rFonts w:hint="default" w:ascii="Times New Roman" w:hAnsi="Times New Roman" w:eastAsia="宋体" w:cs="Times New Roman"/>
                <w:color w:val="auto"/>
                <w:kern w:val="0"/>
                <w:szCs w:val="21"/>
                <w:highlight w:val="none"/>
                <w:vertAlign w:val="subscript"/>
              </w:rPr>
              <w:t>2</w:t>
            </w:r>
            <w:r>
              <w:rPr>
                <w:rFonts w:hint="default" w:ascii="Times New Roman" w:hAnsi="Times New Roman" w:eastAsia="宋体" w:cs="Times New Roman"/>
                <w:color w:val="auto"/>
                <w:kern w:val="0"/>
                <w:szCs w:val="21"/>
                <w:highlight w:val="none"/>
              </w:rPr>
              <w:t>为准，取加权平均值。加权按照型号数量占比。</w:t>
            </w:r>
          </w:p>
          <w:p w14:paraId="5661A3EC">
            <w:pPr>
              <w:keepLines w:val="0"/>
              <w:pageBreakBefore w:val="0"/>
              <w:widowControl/>
              <w:tabs>
                <w:tab w:val="left" w:pos="2826"/>
              </w:tabs>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P</w:t>
            </w:r>
            <w:r>
              <w:rPr>
                <w:rFonts w:hint="default" w:ascii="Times New Roman" w:hAnsi="Times New Roman" w:eastAsia="宋体" w:cs="Times New Roman"/>
                <w:color w:val="auto"/>
                <w:kern w:val="0"/>
                <w:szCs w:val="21"/>
                <w:highlight w:val="none"/>
                <w:vertAlign w:val="subscript"/>
              </w:rPr>
              <w:t>2</w:t>
            </w:r>
            <w:bookmarkStart w:id="93" w:name="OLE_LINK60"/>
            <w:r>
              <w:rPr>
                <w:rFonts w:hint="default" w:ascii="Times New Roman" w:hAnsi="Times New Roman" w:eastAsia="宋体" w:cs="Times New Roman"/>
                <w:color w:val="auto"/>
                <w:kern w:val="0"/>
                <w:szCs w:val="21"/>
                <w:highlight w:val="none"/>
              </w:rPr>
              <w:t>——</w:t>
            </w:r>
            <w:bookmarkEnd w:id="93"/>
            <w:r>
              <w:rPr>
                <w:rFonts w:hint="default" w:ascii="Times New Roman" w:hAnsi="Times New Roman" w:eastAsia="宋体" w:cs="Times New Roman"/>
                <w:color w:val="auto"/>
                <w:kern w:val="0"/>
                <w:szCs w:val="21"/>
                <w:highlight w:val="none"/>
              </w:rPr>
              <w:t>充电场站内每个型号充电枪的单枪最大充电功率加权平均值，单位为千瓦（kW）。</w:t>
            </w:r>
            <w:bookmarkEnd w:id="92"/>
          </w:p>
        </w:tc>
        <w:tc>
          <w:tcPr>
            <w:tcW w:w="1271" w:type="dxa"/>
            <w:tcBorders>
              <w:top w:val="nil"/>
              <w:left w:val="nil"/>
              <w:bottom w:val="single" w:color="auto" w:sz="4" w:space="0"/>
              <w:right w:val="single" w:color="auto" w:sz="4" w:space="0"/>
            </w:tcBorders>
            <w:shd w:val="clear" w:color="000000" w:fill="FFFFFF"/>
            <w:vAlign w:val="center"/>
          </w:tcPr>
          <w:p w14:paraId="2E596EC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P</w:t>
            </w:r>
            <w:r>
              <w:rPr>
                <w:rFonts w:hint="default" w:ascii="Times New Roman" w:hAnsi="Times New Roman" w:eastAsia="宋体" w:cs="Times New Roman"/>
                <w:color w:val="auto"/>
                <w:kern w:val="0"/>
                <w:szCs w:val="21"/>
                <w:highlight w:val="none"/>
                <w:vertAlign w:val="subscript"/>
              </w:rPr>
              <w:t>2</w:t>
            </w:r>
            <w:r>
              <w:rPr>
                <w:rFonts w:hint="default" w:ascii="Times New Roman" w:hAnsi="Times New Roman" w:eastAsia="宋体" w:cs="Times New Roman"/>
                <w:color w:val="auto"/>
                <w:kern w:val="0"/>
                <w:szCs w:val="21"/>
                <w:highlight w:val="none"/>
              </w:rPr>
              <w:t>＜60</w:t>
            </w:r>
          </w:p>
        </w:tc>
        <w:tc>
          <w:tcPr>
            <w:tcW w:w="1246" w:type="dxa"/>
            <w:tcBorders>
              <w:top w:val="nil"/>
              <w:left w:val="nil"/>
              <w:bottom w:val="single" w:color="auto" w:sz="4" w:space="0"/>
              <w:right w:val="single" w:color="auto" w:sz="4" w:space="0"/>
            </w:tcBorders>
            <w:shd w:val="clear" w:color="000000" w:fill="FFFFFF"/>
            <w:vAlign w:val="center"/>
          </w:tcPr>
          <w:p w14:paraId="16FA2BB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60≤P</w:t>
            </w:r>
            <w:r>
              <w:rPr>
                <w:rFonts w:hint="default" w:ascii="Times New Roman" w:hAnsi="Times New Roman" w:eastAsia="宋体" w:cs="Times New Roman"/>
                <w:color w:val="auto"/>
                <w:kern w:val="0"/>
                <w:szCs w:val="21"/>
                <w:highlight w:val="none"/>
                <w:vertAlign w:val="subscript"/>
              </w:rPr>
              <w:t>2</w:t>
            </w:r>
            <w:r>
              <w:rPr>
                <w:rFonts w:hint="default" w:ascii="Times New Roman" w:hAnsi="Times New Roman" w:eastAsia="宋体" w:cs="Times New Roman"/>
                <w:color w:val="auto"/>
                <w:kern w:val="0"/>
                <w:szCs w:val="21"/>
                <w:highlight w:val="none"/>
              </w:rPr>
              <w:t>＜120</w:t>
            </w:r>
          </w:p>
        </w:tc>
        <w:tc>
          <w:tcPr>
            <w:tcW w:w="1170" w:type="dxa"/>
            <w:tcBorders>
              <w:top w:val="nil"/>
              <w:left w:val="nil"/>
              <w:bottom w:val="single" w:color="auto" w:sz="4" w:space="0"/>
              <w:right w:val="single" w:color="auto" w:sz="4" w:space="0"/>
            </w:tcBorders>
            <w:shd w:val="clear" w:color="000000" w:fill="FFFFFF"/>
            <w:vAlign w:val="center"/>
          </w:tcPr>
          <w:p w14:paraId="0B45BAA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120≤P</w:t>
            </w:r>
            <w:r>
              <w:rPr>
                <w:rFonts w:hint="default" w:ascii="Times New Roman" w:hAnsi="Times New Roman" w:eastAsia="宋体" w:cs="Times New Roman"/>
                <w:color w:val="auto"/>
                <w:kern w:val="0"/>
                <w:szCs w:val="21"/>
                <w:highlight w:val="none"/>
                <w:vertAlign w:val="subscript"/>
              </w:rPr>
              <w:t>2</w:t>
            </w: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18</w:t>
            </w:r>
            <w:r>
              <w:rPr>
                <w:rFonts w:hint="default" w:ascii="Times New Roman" w:hAnsi="Times New Roman" w:eastAsia="宋体" w:cs="Times New Roman"/>
                <w:color w:val="auto"/>
                <w:kern w:val="0"/>
                <w:szCs w:val="21"/>
                <w:highlight w:val="none"/>
              </w:rPr>
              <w:t>0</w:t>
            </w:r>
          </w:p>
        </w:tc>
        <w:tc>
          <w:tcPr>
            <w:tcW w:w="1240" w:type="dxa"/>
            <w:tcBorders>
              <w:top w:val="nil"/>
              <w:left w:val="nil"/>
              <w:bottom w:val="single" w:color="auto" w:sz="4" w:space="0"/>
              <w:right w:val="single" w:color="auto" w:sz="4" w:space="0"/>
            </w:tcBorders>
            <w:shd w:val="clear" w:color="000000" w:fill="FFFFFF"/>
            <w:vAlign w:val="center"/>
          </w:tcPr>
          <w:p w14:paraId="63EDFF6D">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lang w:val="en-US" w:eastAsia="zh-CN"/>
              </w:rPr>
              <w:t>18</w:t>
            </w:r>
            <w:r>
              <w:rPr>
                <w:rFonts w:hint="default" w:ascii="Times New Roman" w:hAnsi="Times New Roman" w:eastAsia="宋体" w:cs="Times New Roman"/>
                <w:color w:val="auto"/>
                <w:kern w:val="0"/>
                <w:szCs w:val="21"/>
                <w:highlight w:val="none"/>
              </w:rPr>
              <w:t>0≤P</w:t>
            </w:r>
            <w:r>
              <w:rPr>
                <w:rFonts w:hint="default" w:ascii="Times New Roman" w:hAnsi="Times New Roman" w:eastAsia="宋体" w:cs="Times New Roman"/>
                <w:color w:val="auto"/>
                <w:kern w:val="0"/>
                <w:szCs w:val="21"/>
                <w:highlight w:val="none"/>
                <w:vertAlign w:val="subscript"/>
              </w:rPr>
              <w:t>2</w:t>
            </w: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250</w:t>
            </w:r>
          </w:p>
        </w:tc>
        <w:tc>
          <w:tcPr>
            <w:tcW w:w="1064" w:type="dxa"/>
            <w:tcBorders>
              <w:top w:val="nil"/>
              <w:left w:val="nil"/>
              <w:bottom w:val="single" w:color="auto" w:sz="4" w:space="0"/>
              <w:right w:val="single" w:color="auto" w:sz="4" w:space="0"/>
            </w:tcBorders>
            <w:shd w:val="clear" w:color="000000" w:fill="FFFFFF"/>
            <w:vAlign w:val="center"/>
          </w:tcPr>
          <w:p w14:paraId="313E23E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P</w:t>
            </w:r>
            <w:r>
              <w:rPr>
                <w:rFonts w:hint="default" w:ascii="Times New Roman" w:hAnsi="Times New Roman" w:eastAsia="宋体" w:cs="Times New Roman"/>
                <w:color w:val="auto"/>
                <w:kern w:val="0"/>
                <w:szCs w:val="21"/>
                <w:highlight w:val="none"/>
                <w:vertAlign w:val="subscript"/>
              </w:rPr>
              <w:t>2</w:t>
            </w: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250</w:t>
            </w:r>
          </w:p>
        </w:tc>
      </w:tr>
      <w:bookmarkEnd w:id="90"/>
      <w:tr w14:paraId="1C958DB3">
        <w:tblPrEx>
          <w:tblCellMar>
            <w:top w:w="0" w:type="dxa"/>
            <w:left w:w="108" w:type="dxa"/>
            <w:bottom w:w="0" w:type="dxa"/>
            <w:right w:w="108" w:type="dxa"/>
          </w:tblCellMar>
        </w:tblPrEx>
        <w:trPr>
          <w:trHeight w:val="1262" w:hRule="atLeast"/>
          <w:jc w:val="center"/>
        </w:trPr>
        <w:tc>
          <w:tcPr>
            <w:tcW w:w="1141" w:type="dxa"/>
            <w:vMerge w:val="continue"/>
            <w:tcBorders>
              <w:left w:val="single" w:color="auto" w:sz="4" w:space="0"/>
              <w:right w:val="single" w:color="auto" w:sz="4" w:space="0"/>
            </w:tcBorders>
            <w:vAlign w:val="center"/>
          </w:tcPr>
          <w:p w14:paraId="353FB519">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p>
        </w:tc>
        <w:tc>
          <w:tcPr>
            <w:tcW w:w="1955" w:type="dxa"/>
            <w:tcBorders>
              <w:top w:val="nil"/>
              <w:left w:val="nil"/>
              <w:bottom w:val="single" w:color="auto" w:sz="4" w:space="0"/>
              <w:right w:val="single" w:color="auto" w:sz="4" w:space="0"/>
            </w:tcBorders>
            <w:shd w:val="clear" w:color="000000" w:fill="FFFFFF"/>
            <w:noWrap/>
            <w:vAlign w:val="center"/>
          </w:tcPr>
          <w:p w14:paraId="0E51981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最高输出充电电压（3分值）</w:t>
            </w:r>
          </w:p>
        </w:tc>
        <w:tc>
          <w:tcPr>
            <w:tcW w:w="4872" w:type="dxa"/>
            <w:tcBorders>
              <w:top w:val="nil"/>
              <w:left w:val="nil"/>
              <w:bottom w:val="single" w:color="auto" w:sz="4" w:space="0"/>
              <w:right w:val="single" w:color="auto" w:sz="4" w:space="0"/>
            </w:tcBorders>
            <w:shd w:val="clear" w:color="000000" w:fill="FFFFFF"/>
            <w:vAlign w:val="center"/>
          </w:tcPr>
          <w:p w14:paraId="25618985">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以充电场站内充电终端的最高输出充电电压参评，若充电场站内存在多种电压平台情况下，以最低电压平台参评。</w:t>
            </w:r>
          </w:p>
          <w:p w14:paraId="76F7381C">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U——充电场站内充电终端的最高输出充电电压，单位为伏特（V）。</w:t>
            </w:r>
          </w:p>
        </w:tc>
        <w:tc>
          <w:tcPr>
            <w:tcW w:w="2517" w:type="dxa"/>
            <w:gridSpan w:val="2"/>
            <w:tcBorders>
              <w:top w:val="nil"/>
              <w:left w:val="nil"/>
              <w:bottom w:val="single" w:color="auto" w:sz="4" w:space="0"/>
              <w:right w:val="single" w:color="auto" w:sz="4" w:space="0"/>
            </w:tcBorders>
            <w:shd w:val="clear" w:color="000000" w:fill="FFFFFF"/>
            <w:vAlign w:val="center"/>
          </w:tcPr>
          <w:p w14:paraId="5F4AF26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U＜7</w:t>
            </w:r>
            <w:r>
              <w:rPr>
                <w:rFonts w:hint="default" w:ascii="Times New Roman" w:hAnsi="Times New Roman"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0</w:t>
            </w:r>
          </w:p>
        </w:tc>
        <w:tc>
          <w:tcPr>
            <w:tcW w:w="2410" w:type="dxa"/>
            <w:gridSpan w:val="2"/>
            <w:tcBorders>
              <w:top w:val="nil"/>
              <w:left w:val="nil"/>
              <w:bottom w:val="single" w:color="auto" w:sz="4" w:space="0"/>
              <w:right w:val="single" w:color="auto" w:sz="4" w:space="0"/>
            </w:tcBorders>
            <w:shd w:val="clear" w:color="000000" w:fill="FFFFFF"/>
            <w:vAlign w:val="center"/>
          </w:tcPr>
          <w:p w14:paraId="64BCD75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kern w:val="0"/>
                <w:szCs w:val="21"/>
                <w:highlight w:val="none"/>
              </w:rPr>
              <w:t>7</w:t>
            </w:r>
            <w:r>
              <w:rPr>
                <w:rFonts w:hint="default" w:ascii="Times New Roman" w:hAnsi="Times New Roman"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0≤U＜</w:t>
            </w:r>
            <w:r>
              <w:rPr>
                <w:rFonts w:hint="eastAsia" w:eastAsia="宋体" w:cs="Times New Roman"/>
                <w:color w:val="auto"/>
                <w:kern w:val="0"/>
                <w:szCs w:val="21"/>
                <w:highlight w:val="none"/>
                <w:lang w:val="en-US" w:eastAsia="zh-CN"/>
              </w:rPr>
              <w:t>1000</w:t>
            </w:r>
          </w:p>
        </w:tc>
        <w:tc>
          <w:tcPr>
            <w:tcW w:w="1064" w:type="dxa"/>
            <w:tcBorders>
              <w:top w:val="nil"/>
              <w:left w:val="nil"/>
              <w:bottom w:val="single" w:color="auto" w:sz="4" w:space="0"/>
              <w:right w:val="single" w:color="auto" w:sz="4" w:space="0"/>
            </w:tcBorders>
            <w:shd w:val="clear" w:color="000000" w:fill="FFFFFF"/>
            <w:vAlign w:val="center"/>
          </w:tcPr>
          <w:p w14:paraId="150EA1E6">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kern w:val="0"/>
                <w:szCs w:val="21"/>
                <w:highlight w:val="none"/>
              </w:rPr>
              <w:t>U≥</w:t>
            </w:r>
            <w:r>
              <w:rPr>
                <w:rFonts w:hint="eastAsia" w:eastAsia="宋体" w:cs="Times New Roman"/>
                <w:color w:val="auto"/>
                <w:kern w:val="0"/>
                <w:szCs w:val="21"/>
                <w:highlight w:val="none"/>
                <w:lang w:val="en-US" w:eastAsia="zh-CN"/>
              </w:rPr>
              <w:t>1000</w:t>
            </w:r>
          </w:p>
        </w:tc>
      </w:tr>
      <w:tr w14:paraId="7A8BB7F8">
        <w:tblPrEx>
          <w:tblCellMar>
            <w:top w:w="0" w:type="dxa"/>
            <w:left w:w="108" w:type="dxa"/>
            <w:bottom w:w="0" w:type="dxa"/>
            <w:right w:w="108" w:type="dxa"/>
          </w:tblCellMar>
        </w:tblPrEx>
        <w:trPr>
          <w:trHeight w:val="1220" w:hRule="atLeast"/>
          <w:jc w:val="center"/>
        </w:trPr>
        <w:tc>
          <w:tcPr>
            <w:tcW w:w="1141" w:type="dxa"/>
            <w:vMerge w:val="continue"/>
            <w:tcBorders>
              <w:left w:val="single" w:color="auto" w:sz="4" w:space="0"/>
              <w:bottom w:val="single" w:color="auto" w:sz="4" w:space="0"/>
              <w:right w:val="single" w:color="auto" w:sz="4" w:space="0"/>
            </w:tcBorders>
            <w:vAlign w:val="center"/>
          </w:tcPr>
          <w:p w14:paraId="6A0FA1FD">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p>
        </w:tc>
        <w:tc>
          <w:tcPr>
            <w:tcW w:w="1955" w:type="dxa"/>
            <w:tcBorders>
              <w:top w:val="nil"/>
              <w:left w:val="nil"/>
              <w:bottom w:val="single" w:color="auto" w:sz="4" w:space="0"/>
              <w:right w:val="single" w:color="auto" w:sz="4" w:space="0"/>
            </w:tcBorders>
            <w:shd w:val="clear" w:color="000000" w:fill="FFFFFF"/>
            <w:noWrap/>
            <w:vAlign w:val="center"/>
          </w:tcPr>
          <w:p w14:paraId="0E8F251D">
            <w:pPr>
              <w:keepLines w:val="0"/>
              <w:pageBreakBefore w:val="0"/>
              <w:kinsoku/>
              <w:wordWrap/>
              <w:overflowPunct/>
              <w:topLinePunct w:val="0"/>
              <w:bidi w:val="0"/>
              <w:adjustRightInd/>
              <w:snapToGrid/>
              <w:spacing w:line="259" w:lineRule="auto"/>
              <w:ind w:firstLine="0" w:firstLineChars="0"/>
              <w:jc w:val="center"/>
              <w:rPr>
                <w:rFonts w:hint="default" w:ascii="Times New Roman" w:hAnsi="Times New Roman" w:cs="Times New Roman"/>
                <w:color w:val="auto"/>
                <w:sz w:val="20"/>
                <w:szCs w:val="28"/>
                <w:highlight w:val="none"/>
              </w:rPr>
            </w:pPr>
            <w:bookmarkStart w:id="94" w:name="OLE_LINK113"/>
            <w:r>
              <w:rPr>
                <w:rFonts w:hint="default" w:ascii="Times New Roman" w:hAnsi="Times New Roman" w:cs="Times New Roman"/>
                <w:color w:val="auto"/>
                <w:sz w:val="20"/>
                <w:szCs w:val="28"/>
                <w:highlight w:val="none"/>
              </w:rPr>
              <w:t>外壳防护等级</w:t>
            </w:r>
          </w:p>
          <w:bookmarkEnd w:id="94"/>
          <w:p w14:paraId="624D70C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cs="Times New Roman"/>
                <w:color w:val="auto"/>
                <w:sz w:val="20"/>
                <w:szCs w:val="28"/>
                <w:highlight w:val="none"/>
              </w:rPr>
              <w:t>（3分值）</w:t>
            </w:r>
          </w:p>
        </w:tc>
        <w:tc>
          <w:tcPr>
            <w:tcW w:w="4872" w:type="dxa"/>
            <w:tcBorders>
              <w:top w:val="nil"/>
              <w:left w:val="nil"/>
              <w:bottom w:val="single" w:color="auto" w:sz="4" w:space="0"/>
              <w:right w:val="single" w:color="auto" w:sz="4" w:space="0"/>
            </w:tcBorders>
            <w:shd w:val="clear" w:color="000000" w:fill="FFFFFF"/>
            <w:vAlign w:val="center"/>
          </w:tcPr>
          <w:p w14:paraId="19E00A7C">
            <w:pPr>
              <w:keepLines w:val="0"/>
              <w:pageBreakBefore w:val="0"/>
              <w:widowControl/>
              <w:kinsoku/>
              <w:wordWrap/>
              <w:overflowPunct/>
              <w:topLinePunct w:val="0"/>
              <w:bidi w:val="0"/>
              <w:adjustRightInd/>
              <w:snapToGrid/>
              <w:ind w:firstLine="0" w:firstLineChars="0"/>
              <w:rPr>
                <w:rFonts w:hint="default" w:ascii="Times New Roman" w:hAnsi="Times New Roman" w:cs="Times New Roman" w:eastAsiaTheme="minorEastAsia"/>
                <w:color w:val="auto"/>
                <w:kern w:val="0"/>
                <w:szCs w:val="21"/>
                <w:highlight w:val="none"/>
                <w:lang w:eastAsia="zh-CN"/>
              </w:rPr>
            </w:pPr>
            <w:bookmarkStart w:id="95" w:name="OLE_LINK137"/>
            <w:r>
              <w:rPr>
                <w:rFonts w:hint="default" w:ascii="Times New Roman" w:hAnsi="Times New Roman" w:cs="Times New Roman"/>
                <w:color w:val="auto"/>
                <w:sz w:val="20"/>
                <w:szCs w:val="28"/>
                <w:highlight w:val="none"/>
              </w:rPr>
              <w:t>充电</w:t>
            </w:r>
            <w:r>
              <w:rPr>
                <w:rFonts w:hint="default" w:ascii="Times New Roman" w:hAnsi="Times New Roman" w:cs="Times New Roman"/>
                <w:color w:val="auto"/>
                <w:sz w:val="20"/>
                <w:szCs w:val="28"/>
                <w:highlight w:val="none"/>
                <w:lang w:val="en-US" w:eastAsia="zh-CN"/>
              </w:rPr>
              <w:t>系统</w:t>
            </w:r>
            <w:r>
              <w:rPr>
                <w:rFonts w:hint="default" w:ascii="Times New Roman" w:hAnsi="Times New Roman" w:cs="Times New Roman"/>
                <w:color w:val="auto"/>
                <w:sz w:val="20"/>
                <w:szCs w:val="28"/>
                <w:highlight w:val="none"/>
              </w:rPr>
              <w:t>外壳防护等级</w:t>
            </w:r>
            <w:r>
              <w:rPr>
                <w:rFonts w:hint="default" w:ascii="Times New Roman" w:hAnsi="Times New Roman" w:cs="Times New Roman"/>
                <w:color w:val="auto"/>
                <w:sz w:val="20"/>
                <w:szCs w:val="28"/>
                <w:highlight w:val="none"/>
                <w:lang w:eastAsia="zh-CN"/>
              </w:rPr>
              <w:t>。</w:t>
            </w:r>
            <w:bookmarkEnd w:id="95"/>
          </w:p>
        </w:tc>
        <w:tc>
          <w:tcPr>
            <w:tcW w:w="3687" w:type="dxa"/>
            <w:gridSpan w:val="3"/>
            <w:tcBorders>
              <w:top w:val="nil"/>
              <w:left w:val="nil"/>
              <w:bottom w:val="single" w:color="auto" w:sz="4" w:space="0"/>
              <w:right w:val="single" w:color="auto" w:sz="4" w:space="0"/>
            </w:tcBorders>
            <w:shd w:val="clear" w:color="000000" w:fill="FFFFFF"/>
            <w:vAlign w:val="center"/>
          </w:tcPr>
          <w:p w14:paraId="0CCB98D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kern w:val="0"/>
                <w:szCs w:val="21"/>
                <w:highlight w:val="none"/>
              </w:rPr>
              <w:t>IP54</w:t>
            </w:r>
          </w:p>
        </w:tc>
        <w:tc>
          <w:tcPr>
            <w:tcW w:w="1240" w:type="dxa"/>
            <w:tcBorders>
              <w:top w:val="nil"/>
              <w:left w:val="nil"/>
              <w:bottom w:val="single" w:color="auto" w:sz="4" w:space="0"/>
              <w:right w:val="single" w:color="auto" w:sz="4" w:space="0"/>
            </w:tcBorders>
            <w:shd w:val="clear" w:color="000000" w:fill="FFFFFF"/>
            <w:vAlign w:val="center"/>
          </w:tcPr>
          <w:p w14:paraId="12B682B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lang w:val="en-US" w:eastAsia="zh-CN"/>
              </w:rPr>
              <w:t>充电主机</w:t>
            </w:r>
            <w:bookmarkStart w:id="96" w:name="OLE_LINK49"/>
            <w:r>
              <w:rPr>
                <w:rFonts w:hint="default" w:ascii="Times New Roman" w:hAnsi="Times New Roman" w:eastAsia="宋体" w:cs="Times New Roman"/>
                <w:color w:val="auto"/>
                <w:kern w:val="0"/>
                <w:szCs w:val="21"/>
                <w:highlight w:val="none"/>
                <w:lang w:val="en-US" w:eastAsia="zh-CN"/>
              </w:rPr>
              <w:t>IP54</w:t>
            </w:r>
            <w:bookmarkEnd w:id="96"/>
            <w:r>
              <w:rPr>
                <w:rFonts w:hint="default" w:ascii="Times New Roman" w:hAnsi="Times New Roman" w:eastAsia="宋体" w:cs="Times New Roman"/>
                <w:color w:val="auto"/>
                <w:kern w:val="0"/>
                <w:szCs w:val="21"/>
                <w:highlight w:val="none"/>
                <w:lang w:val="en-US" w:eastAsia="zh-CN"/>
              </w:rPr>
              <w:t>，终端</w:t>
            </w:r>
            <w:r>
              <w:rPr>
                <w:rFonts w:hint="default" w:ascii="Times New Roman" w:hAnsi="Times New Roman" w:eastAsia="宋体" w:cs="Times New Roman"/>
                <w:color w:val="auto"/>
                <w:kern w:val="0"/>
                <w:szCs w:val="21"/>
                <w:highlight w:val="none"/>
              </w:rPr>
              <w:t>IP55</w:t>
            </w:r>
            <w:r>
              <w:rPr>
                <w:rFonts w:hint="default" w:ascii="Times New Roman" w:hAnsi="Times New Roman" w:eastAsia="宋体" w:cs="Times New Roman"/>
                <w:color w:val="auto"/>
                <w:kern w:val="0"/>
                <w:szCs w:val="21"/>
                <w:highlight w:val="none"/>
                <w:lang w:val="en-US" w:eastAsia="zh-CN"/>
              </w:rPr>
              <w:t>及以上</w:t>
            </w:r>
          </w:p>
        </w:tc>
        <w:tc>
          <w:tcPr>
            <w:tcW w:w="1064" w:type="dxa"/>
            <w:tcBorders>
              <w:top w:val="nil"/>
              <w:left w:val="nil"/>
              <w:bottom w:val="single" w:color="auto" w:sz="4" w:space="0"/>
              <w:right w:val="single" w:color="auto" w:sz="4" w:space="0"/>
            </w:tcBorders>
            <w:shd w:val="clear" w:color="000000" w:fill="FFFFFF"/>
            <w:vAlign w:val="center"/>
          </w:tcPr>
          <w:p w14:paraId="3C27693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97" w:name="OLE_LINK44"/>
            <w:r>
              <w:rPr>
                <w:rFonts w:hint="default" w:ascii="Times New Roman" w:hAnsi="Times New Roman" w:eastAsia="宋体" w:cs="Times New Roman"/>
                <w:color w:val="auto"/>
                <w:kern w:val="0"/>
                <w:szCs w:val="21"/>
                <w:highlight w:val="none"/>
                <w:lang w:val="en-US" w:eastAsia="zh-CN"/>
              </w:rPr>
              <w:t>充电主机及终端均为</w:t>
            </w:r>
            <w:r>
              <w:rPr>
                <w:rFonts w:hint="default" w:ascii="Times New Roman" w:hAnsi="Times New Roman" w:eastAsia="宋体" w:cs="Times New Roman"/>
                <w:color w:val="auto"/>
                <w:kern w:val="0"/>
                <w:szCs w:val="21"/>
                <w:highlight w:val="none"/>
              </w:rPr>
              <w:t>IP55</w:t>
            </w:r>
            <w:bookmarkEnd w:id="97"/>
            <w:bookmarkStart w:id="98" w:name="OLE_LINK83"/>
            <w:r>
              <w:rPr>
                <w:rFonts w:hint="default" w:ascii="Times New Roman" w:hAnsi="Times New Roman" w:eastAsia="宋体" w:cs="Times New Roman"/>
                <w:color w:val="auto"/>
                <w:kern w:val="0"/>
                <w:szCs w:val="21"/>
                <w:highlight w:val="none"/>
                <w:lang w:val="en-US" w:eastAsia="zh-CN"/>
              </w:rPr>
              <w:t>及以上</w:t>
            </w:r>
            <w:bookmarkEnd w:id="98"/>
          </w:p>
        </w:tc>
      </w:tr>
      <w:tr w14:paraId="1A6CA210">
        <w:tblPrEx>
          <w:tblCellMar>
            <w:top w:w="0" w:type="dxa"/>
            <w:left w:w="108" w:type="dxa"/>
            <w:bottom w:w="0" w:type="dxa"/>
            <w:right w:w="108" w:type="dxa"/>
          </w:tblCellMar>
        </w:tblPrEx>
        <w:trPr>
          <w:trHeight w:val="1121" w:hRule="atLeast"/>
          <w:jc w:val="center"/>
        </w:trPr>
        <w:tc>
          <w:tcPr>
            <w:tcW w:w="1141" w:type="dxa"/>
            <w:vMerge w:val="restart"/>
            <w:tcBorders>
              <w:top w:val="single" w:color="auto" w:sz="4" w:space="0"/>
              <w:left w:val="single" w:color="auto" w:sz="4" w:space="0"/>
              <w:right w:val="single" w:color="auto" w:sz="4" w:space="0"/>
            </w:tcBorders>
            <w:shd w:val="clear" w:color="000000" w:fill="FFFFFF"/>
            <w:vAlign w:val="center"/>
          </w:tcPr>
          <w:p w14:paraId="208117B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环境服务</w:t>
            </w:r>
          </w:p>
          <w:p w14:paraId="0B015A93">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（2</w:t>
            </w:r>
            <w:r>
              <w:rPr>
                <w:rFonts w:hint="default" w:ascii="Times New Roman" w:hAnsi="Times New Roman" w:eastAsia="宋体" w:cs="Times New Roman"/>
                <w:color w:val="auto"/>
                <w:kern w:val="0"/>
                <w:szCs w:val="21"/>
                <w:highlight w:val="none"/>
                <w:lang w:val="en-US" w:eastAsia="zh-CN"/>
              </w:rPr>
              <w:t>3</w:t>
            </w:r>
            <w:r>
              <w:rPr>
                <w:rFonts w:hint="default" w:ascii="Times New Roman" w:hAnsi="Times New Roman" w:eastAsia="宋体" w:cs="Times New Roman"/>
                <w:color w:val="auto"/>
                <w:kern w:val="0"/>
                <w:szCs w:val="21"/>
                <w:highlight w:val="none"/>
              </w:rPr>
              <w:t>分值）</w:t>
            </w:r>
          </w:p>
        </w:tc>
        <w:tc>
          <w:tcPr>
            <w:tcW w:w="1955"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726A1B4">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位置合理</w:t>
            </w:r>
          </w:p>
          <w:p w14:paraId="6265DC0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4</w:t>
            </w:r>
            <w:r>
              <w:rPr>
                <w:rFonts w:hint="default" w:ascii="Times New Roman" w:hAnsi="Times New Roman" w:eastAsia="宋体" w:cs="Times New Roman"/>
                <w:color w:val="auto"/>
                <w:kern w:val="0"/>
                <w:szCs w:val="21"/>
                <w:highlight w:val="none"/>
              </w:rPr>
              <w:t>分值）</w:t>
            </w:r>
          </w:p>
        </w:tc>
        <w:tc>
          <w:tcPr>
            <w:tcW w:w="4872" w:type="dxa"/>
            <w:tcBorders>
              <w:top w:val="nil"/>
              <w:left w:val="nil"/>
              <w:bottom w:val="single" w:color="auto" w:sz="4" w:space="0"/>
              <w:right w:val="single" w:color="auto" w:sz="4" w:space="0"/>
            </w:tcBorders>
            <w:shd w:val="clear" w:color="000000" w:fill="FFFFFF"/>
            <w:vAlign w:val="center"/>
          </w:tcPr>
          <w:p w14:paraId="2067D09B">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充电场站位置应满足①进出口距离主干道距离小于20m②出入口主干道出入场便利③</w:t>
            </w:r>
            <w:bookmarkStart w:id="99" w:name="OLE_LINK139"/>
            <w:r>
              <w:rPr>
                <w:rFonts w:hint="default" w:ascii="Times New Roman" w:hAnsi="Times New Roman" w:eastAsia="宋体" w:cs="Times New Roman"/>
                <w:color w:val="auto"/>
                <w:kern w:val="0"/>
                <w:szCs w:val="21"/>
                <w:highlight w:val="none"/>
              </w:rPr>
              <w:t>入主体建筑后有清晰准确指引路牌</w:t>
            </w:r>
            <w:bookmarkEnd w:id="99"/>
            <w:r>
              <w:rPr>
                <w:rFonts w:hint="default" w:ascii="Times New Roman" w:hAnsi="Times New Roman" w:eastAsia="宋体" w:cs="Times New Roman"/>
                <w:color w:val="auto"/>
                <w:kern w:val="0"/>
                <w:szCs w:val="21"/>
                <w:highlight w:val="none"/>
              </w:rPr>
              <w:t>④</w:t>
            </w:r>
            <w:bookmarkStart w:id="100" w:name="OLE_LINK138"/>
            <w:r>
              <w:rPr>
                <w:rFonts w:hint="default" w:ascii="Times New Roman" w:hAnsi="Times New Roman" w:eastAsia="宋体" w:cs="Times New Roman"/>
                <w:color w:val="auto"/>
                <w:kern w:val="0"/>
                <w:szCs w:val="21"/>
                <w:highlight w:val="none"/>
                <w:lang w:val="en-US" w:eastAsia="zh-CN"/>
              </w:rPr>
              <w:t>具备准确的指引路书</w:t>
            </w:r>
            <w:r>
              <w:rPr>
                <w:rFonts w:hint="default" w:ascii="Times New Roman" w:hAnsi="Times New Roman" w:eastAsia="宋体" w:cs="Times New Roman"/>
                <w:color w:val="auto"/>
                <w:kern w:val="0"/>
                <w:szCs w:val="21"/>
                <w:highlight w:val="none"/>
              </w:rPr>
              <w:t>。</w:t>
            </w:r>
            <w:bookmarkEnd w:id="100"/>
          </w:p>
        </w:tc>
        <w:tc>
          <w:tcPr>
            <w:tcW w:w="2517" w:type="dxa"/>
            <w:gridSpan w:val="2"/>
            <w:tcBorders>
              <w:top w:val="nil"/>
              <w:left w:val="nil"/>
              <w:bottom w:val="single" w:color="auto" w:sz="4" w:space="0"/>
              <w:right w:val="single" w:color="auto" w:sz="4" w:space="0"/>
            </w:tcBorders>
            <w:shd w:val="clear" w:color="000000" w:fill="FFFFFF"/>
            <w:vAlign w:val="center"/>
          </w:tcPr>
          <w:p w14:paraId="3701B58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不满足③或④</w:t>
            </w:r>
          </w:p>
        </w:tc>
        <w:tc>
          <w:tcPr>
            <w:tcW w:w="1170" w:type="dxa"/>
            <w:tcBorders>
              <w:top w:val="nil"/>
              <w:left w:val="nil"/>
              <w:bottom w:val="single" w:color="auto" w:sz="4" w:space="0"/>
              <w:right w:val="single" w:color="auto" w:sz="4" w:space="0"/>
            </w:tcBorders>
            <w:shd w:val="clear" w:color="000000" w:fill="FFFFFF"/>
            <w:vAlign w:val="center"/>
          </w:tcPr>
          <w:p w14:paraId="0960263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满足③④不满足①②</w:t>
            </w:r>
          </w:p>
        </w:tc>
        <w:tc>
          <w:tcPr>
            <w:tcW w:w="1240" w:type="dxa"/>
            <w:tcBorders>
              <w:top w:val="nil"/>
              <w:left w:val="nil"/>
              <w:bottom w:val="single" w:color="auto" w:sz="4" w:space="0"/>
              <w:right w:val="single" w:color="auto" w:sz="4" w:space="0"/>
            </w:tcBorders>
            <w:shd w:val="clear" w:color="000000" w:fill="FFFFFF"/>
            <w:vAlign w:val="center"/>
          </w:tcPr>
          <w:p w14:paraId="7D4A123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满足①③④或满足②③④</w:t>
            </w:r>
          </w:p>
        </w:tc>
        <w:tc>
          <w:tcPr>
            <w:tcW w:w="1064" w:type="dxa"/>
            <w:tcBorders>
              <w:top w:val="nil"/>
              <w:left w:val="nil"/>
              <w:bottom w:val="single" w:color="auto" w:sz="4" w:space="0"/>
              <w:right w:val="single" w:color="auto" w:sz="4" w:space="0"/>
            </w:tcBorders>
            <w:shd w:val="clear" w:color="000000" w:fill="FFFFFF"/>
            <w:vAlign w:val="center"/>
          </w:tcPr>
          <w:p w14:paraId="3841EA3C">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满足①②③④</w:t>
            </w:r>
          </w:p>
        </w:tc>
      </w:tr>
      <w:tr w14:paraId="3E192A18">
        <w:tblPrEx>
          <w:tblCellMar>
            <w:top w:w="0" w:type="dxa"/>
            <w:left w:w="108" w:type="dxa"/>
            <w:bottom w:w="0" w:type="dxa"/>
            <w:right w:w="108" w:type="dxa"/>
          </w:tblCellMar>
        </w:tblPrEx>
        <w:trPr>
          <w:trHeight w:val="733" w:hRule="atLeast"/>
          <w:jc w:val="center"/>
        </w:trPr>
        <w:tc>
          <w:tcPr>
            <w:tcW w:w="1141" w:type="dxa"/>
            <w:vMerge w:val="continue"/>
            <w:tcBorders>
              <w:left w:val="single" w:color="auto" w:sz="4" w:space="0"/>
              <w:right w:val="single" w:color="auto" w:sz="4" w:space="0"/>
            </w:tcBorders>
            <w:vAlign w:val="center"/>
          </w:tcPr>
          <w:p w14:paraId="2F56BA30">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p>
        </w:tc>
        <w:tc>
          <w:tcPr>
            <w:tcW w:w="1955"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F354006">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交通友好</w:t>
            </w:r>
          </w:p>
          <w:p w14:paraId="0EEBF09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2</w:t>
            </w:r>
            <w:r>
              <w:rPr>
                <w:rFonts w:hint="default" w:ascii="Times New Roman" w:hAnsi="Times New Roman" w:eastAsia="宋体" w:cs="Times New Roman"/>
                <w:color w:val="auto"/>
                <w:kern w:val="0"/>
                <w:szCs w:val="21"/>
                <w:highlight w:val="none"/>
              </w:rPr>
              <w:t>分值）</w:t>
            </w:r>
          </w:p>
        </w:tc>
        <w:tc>
          <w:tcPr>
            <w:tcW w:w="4872" w:type="dxa"/>
            <w:tcBorders>
              <w:top w:val="nil"/>
              <w:left w:val="nil"/>
              <w:bottom w:val="single" w:color="auto" w:sz="4" w:space="0"/>
              <w:right w:val="single" w:color="auto" w:sz="4" w:space="0"/>
            </w:tcBorders>
            <w:shd w:val="clear" w:color="000000" w:fill="FFFFFF"/>
            <w:vAlign w:val="center"/>
          </w:tcPr>
          <w:p w14:paraId="72C2CA7A">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场站宜设置等候区域或安排场站管理人员进行交通疏导</w:t>
            </w:r>
            <w:r>
              <w:rPr>
                <w:rFonts w:hint="eastAsia" w:eastAsia="宋体" w:cs="Times New Roman"/>
                <w:color w:val="auto"/>
                <w:kern w:val="0"/>
                <w:szCs w:val="21"/>
                <w:highlight w:val="none"/>
                <w:lang w:val="en-US" w:eastAsia="zh-CN"/>
              </w:rPr>
              <w:t>或场站出入口有紧急联系人电话</w:t>
            </w:r>
            <w:r>
              <w:rPr>
                <w:rFonts w:hint="default" w:ascii="Times New Roman" w:hAnsi="Times New Roman" w:eastAsia="宋体" w:cs="Times New Roman"/>
                <w:color w:val="auto"/>
                <w:kern w:val="0"/>
                <w:szCs w:val="21"/>
                <w:highlight w:val="none"/>
              </w:rPr>
              <w:t>，减少对外部交通干扰。</w:t>
            </w:r>
          </w:p>
        </w:tc>
        <w:tc>
          <w:tcPr>
            <w:tcW w:w="4927" w:type="dxa"/>
            <w:gridSpan w:val="4"/>
            <w:tcBorders>
              <w:top w:val="nil"/>
              <w:left w:val="nil"/>
              <w:bottom w:val="single" w:color="auto" w:sz="4" w:space="0"/>
              <w:right w:val="single" w:color="auto" w:sz="4" w:space="0"/>
            </w:tcBorders>
            <w:shd w:val="clear" w:color="000000" w:fill="FFFFFF"/>
            <w:vAlign w:val="center"/>
          </w:tcPr>
          <w:p w14:paraId="11CA65A4">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无</w:t>
            </w:r>
          </w:p>
        </w:tc>
        <w:tc>
          <w:tcPr>
            <w:tcW w:w="1064" w:type="dxa"/>
            <w:tcBorders>
              <w:top w:val="nil"/>
              <w:left w:val="nil"/>
              <w:bottom w:val="single" w:color="auto" w:sz="4" w:space="0"/>
              <w:right w:val="single" w:color="auto" w:sz="4" w:space="0"/>
            </w:tcBorders>
            <w:shd w:val="clear" w:color="000000" w:fill="FFFFFF"/>
            <w:vAlign w:val="center"/>
          </w:tcPr>
          <w:p w14:paraId="1438F40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有</w:t>
            </w:r>
          </w:p>
        </w:tc>
      </w:tr>
      <w:tr w14:paraId="6FCED544">
        <w:tblPrEx>
          <w:tblCellMar>
            <w:top w:w="0" w:type="dxa"/>
            <w:left w:w="108" w:type="dxa"/>
            <w:bottom w:w="0" w:type="dxa"/>
            <w:right w:w="108" w:type="dxa"/>
          </w:tblCellMar>
        </w:tblPrEx>
        <w:trPr>
          <w:trHeight w:val="651" w:hRule="atLeast"/>
          <w:jc w:val="center"/>
        </w:trPr>
        <w:tc>
          <w:tcPr>
            <w:tcW w:w="1141" w:type="dxa"/>
            <w:vMerge w:val="continue"/>
            <w:tcBorders>
              <w:left w:val="single" w:color="auto" w:sz="4" w:space="0"/>
              <w:right w:val="single" w:color="auto" w:sz="4" w:space="0"/>
            </w:tcBorders>
            <w:vAlign w:val="center"/>
          </w:tcPr>
          <w:p w14:paraId="0C6D8958">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p>
        </w:tc>
        <w:tc>
          <w:tcPr>
            <w:tcW w:w="1955"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63BD01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整体装饰</w:t>
            </w:r>
          </w:p>
          <w:p w14:paraId="2E41255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分值）</w:t>
            </w:r>
          </w:p>
        </w:tc>
        <w:tc>
          <w:tcPr>
            <w:tcW w:w="4872" w:type="dxa"/>
            <w:tcBorders>
              <w:top w:val="nil"/>
              <w:left w:val="nil"/>
              <w:bottom w:val="single" w:color="auto" w:sz="4" w:space="0"/>
              <w:right w:val="single" w:color="auto" w:sz="4" w:space="0"/>
            </w:tcBorders>
            <w:shd w:val="clear" w:color="000000" w:fill="FFFFFF"/>
            <w:vAlign w:val="center"/>
          </w:tcPr>
          <w:p w14:paraId="43FF1C3D">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地面宜硬化，车位线清晰，充电车位有明显标识，场站内有明显品牌标识。</w:t>
            </w:r>
          </w:p>
        </w:tc>
        <w:tc>
          <w:tcPr>
            <w:tcW w:w="1271" w:type="dxa"/>
            <w:tcBorders>
              <w:top w:val="nil"/>
              <w:left w:val="nil"/>
              <w:bottom w:val="single" w:color="auto" w:sz="4" w:space="0"/>
              <w:right w:val="single" w:color="auto" w:sz="4" w:space="0"/>
            </w:tcBorders>
            <w:shd w:val="clear" w:color="000000" w:fill="FFFFFF"/>
            <w:vAlign w:val="center"/>
          </w:tcPr>
          <w:p w14:paraId="0F2E361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不符合</w:t>
            </w:r>
          </w:p>
        </w:tc>
        <w:tc>
          <w:tcPr>
            <w:tcW w:w="1246" w:type="dxa"/>
            <w:tcBorders>
              <w:top w:val="nil"/>
              <w:left w:val="nil"/>
              <w:bottom w:val="single" w:color="auto" w:sz="4" w:space="0"/>
              <w:right w:val="single" w:color="auto" w:sz="4" w:space="0"/>
            </w:tcBorders>
            <w:shd w:val="clear" w:color="000000" w:fill="FFFFFF"/>
            <w:vAlign w:val="center"/>
          </w:tcPr>
          <w:p w14:paraId="6542C36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一项符合</w:t>
            </w:r>
          </w:p>
        </w:tc>
        <w:tc>
          <w:tcPr>
            <w:tcW w:w="1170" w:type="dxa"/>
            <w:tcBorders>
              <w:top w:val="nil"/>
              <w:left w:val="nil"/>
              <w:bottom w:val="single" w:color="auto" w:sz="4" w:space="0"/>
              <w:right w:val="single" w:color="auto" w:sz="4" w:space="0"/>
            </w:tcBorders>
            <w:shd w:val="clear" w:color="000000" w:fill="FFFFFF"/>
            <w:vAlign w:val="center"/>
          </w:tcPr>
          <w:p w14:paraId="6525C78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两项符合</w:t>
            </w:r>
          </w:p>
        </w:tc>
        <w:tc>
          <w:tcPr>
            <w:tcW w:w="1240" w:type="dxa"/>
            <w:tcBorders>
              <w:top w:val="nil"/>
              <w:left w:val="nil"/>
              <w:bottom w:val="single" w:color="auto" w:sz="4" w:space="0"/>
              <w:right w:val="single" w:color="auto" w:sz="4" w:space="0"/>
            </w:tcBorders>
            <w:shd w:val="clear" w:color="000000" w:fill="FFFFFF"/>
            <w:vAlign w:val="center"/>
          </w:tcPr>
          <w:p w14:paraId="065F9B8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三项符合</w:t>
            </w:r>
          </w:p>
        </w:tc>
        <w:tc>
          <w:tcPr>
            <w:tcW w:w="1064" w:type="dxa"/>
            <w:tcBorders>
              <w:top w:val="nil"/>
              <w:left w:val="nil"/>
              <w:bottom w:val="single" w:color="auto" w:sz="4" w:space="0"/>
              <w:right w:val="single" w:color="auto" w:sz="4" w:space="0"/>
            </w:tcBorders>
            <w:shd w:val="clear" w:color="000000" w:fill="FFFFFF"/>
            <w:vAlign w:val="center"/>
          </w:tcPr>
          <w:p w14:paraId="7842ABD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四项符合</w:t>
            </w:r>
          </w:p>
        </w:tc>
      </w:tr>
      <w:tr w14:paraId="3AECFA10">
        <w:tblPrEx>
          <w:tblCellMar>
            <w:top w:w="0" w:type="dxa"/>
            <w:left w:w="108" w:type="dxa"/>
            <w:bottom w:w="0" w:type="dxa"/>
            <w:right w:w="108" w:type="dxa"/>
          </w:tblCellMar>
        </w:tblPrEx>
        <w:trPr>
          <w:trHeight w:val="507" w:hRule="atLeast"/>
          <w:jc w:val="center"/>
        </w:trPr>
        <w:tc>
          <w:tcPr>
            <w:tcW w:w="1141" w:type="dxa"/>
            <w:vMerge w:val="continue"/>
            <w:tcBorders>
              <w:left w:val="single" w:color="auto" w:sz="4" w:space="0"/>
              <w:right w:val="single" w:color="auto" w:sz="4" w:space="0"/>
            </w:tcBorders>
            <w:vAlign w:val="center"/>
          </w:tcPr>
          <w:p w14:paraId="742B9685">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p>
        </w:tc>
        <w:tc>
          <w:tcPr>
            <w:tcW w:w="1955"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F38444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遮阳挡雨</w:t>
            </w:r>
          </w:p>
          <w:p w14:paraId="6A3E681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（3分值）</w:t>
            </w:r>
          </w:p>
        </w:tc>
        <w:tc>
          <w:tcPr>
            <w:tcW w:w="4872" w:type="dxa"/>
            <w:tcBorders>
              <w:top w:val="nil"/>
              <w:left w:val="nil"/>
              <w:bottom w:val="single" w:color="auto" w:sz="4" w:space="0"/>
              <w:right w:val="single" w:color="auto" w:sz="4" w:space="0"/>
            </w:tcBorders>
            <w:shd w:val="clear" w:color="000000" w:fill="FFFFFF"/>
            <w:vAlign w:val="center"/>
          </w:tcPr>
          <w:p w14:paraId="23A2DA2E">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露天场站有雨棚,非露天场站顶棚整洁。</w:t>
            </w:r>
          </w:p>
        </w:tc>
        <w:tc>
          <w:tcPr>
            <w:tcW w:w="4927" w:type="dxa"/>
            <w:gridSpan w:val="4"/>
            <w:tcBorders>
              <w:top w:val="nil"/>
              <w:left w:val="nil"/>
              <w:bottom w:val="single" w:color="auto" w:sz="4" w:space="0"/>
              <w:right w:val="single" w:color="auto" w:sz="4" w:space="0"/>
            </w:tcBorders>
            <w:shd w:val="clear" w:color="000000" w:fill="FFFFFF"/>
            <w:vAlign w:val="center"/>
          </w:tcPr>
          <w:p w14:paraId="7B6A80AD">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否</w:t>
            </w:r>
          </w:p>
        </w:tc>
        <w:tc>
          <w:tcPr>
            <w:tcW w:w="1064" w:type="dxa"/>
            <w:tcBorders>
              <w:top w:val="nil"/>
              <w:left w:val="nil"/>
              <w:bottom w:val="single" w:color="auto" w:sz="4" w:space="0"/>
              <w:right w:val="single" w:color="auto" w:sz="4" w:space="0"/>
            </w:tcBorders>
            <w:shd w:val="clear" w:color="000000" w:fill="FFFFFF"/>
            <w:vAlign w:val="center"/>
          </w:tcPr>
          <w:p w14:paraId="452BD48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是</w:t>
            </w:r>
          </w:p>
        </w:tc>
      </w:tr>
      <w:tr w14:paraId="4A75D40B">
        <w:tblPrEx>
          <w:tblCellMar>
            <w:top w:w="0" w:type="dxa"/>
            <w:left w:w="108" w:type="dxa"/>
            <w:bottom w:w="0" w:type="dxa"/>
            <w:right w:w="108" w:type="dxa"/>
          </w:tblCellMar>
        </w:tblPrEx>
        <w:trPr>
          <w:trHeight w:val="2095" w:hRule="atLeast"/>
          <w:jc w:val="center"/>
        </w:trPr>
        <w:tc>
          <w:tcPr>
            <w:tcW w:w="1141" w:type="dxa"/>
            <w:vMerge w:val="restart"/>
            <w:tcBorders>
              <w:left w:val="single" w:color="auto" w:sz="4" w:space="0"/>
              <w:right w:val="single" w:color="auto" w:sz="4" w:space="0"/>
            </w:tcBorders>
            <w:vAlign w:val="center"/>
          </w:tcPr>
          <w:p w14:paraId="07519506">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bookmarkStart w:id="101" w:name="OLE_LINK161" w:colFirst="1" w:colLast="1"/>
            <w:r>
              <w:rPr>
                <w:rFonts w:hint="default" w:ascii="Times New Roman" w:hAnsi="Times New Roman" w:eastAsia="宋体" w:cs="Times New Roman"/>
                <w:color w:val="auto"/>
                <w:kern w:val="0"/>
                <w:szCs w:val="21"/>
                <w:highlight w:val="none"/>
              </w:rPr>
              <w:t>环境服务</w:t>
            </w:r>
          </w:p>
          <w:p w14:paraId="2396D3EC">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（2</w:t>
            </w:r>
            <w:r>
              <w:rPr>
                <w:rFonts w:hint="default" w:ascii="Times New Roman" w:hAnsi="Times New Roman" w:eastAsia="宋体" w:cs="Times New Roman"/>
                <w:color w:val="auto"/>
                <w:kern w:val="0"/>
                <w:szCs w:val="21"/>
                <w:highlight w:val="none"/>
                <w:lang w:val="en-US" w:eastAsia="zh-CN"/>
              </w:rPr>
              <w:t>3</w:t>
            </w:r>
            <w:r>
              <w:rPr>
                <w:rFonts w:hint="default" w:ascii="Times New Roman" w:hAnsi="Times New Roman" w:eastAsia="宋体" w:cs="Times New Roman"/>
                <w:color w:val="auto"/>
                <w:kern w:val="0"/>
                <w:szCs w:val="21"/>
                <w:highlight w:val="none"/>
              </w:rPr>
              <w:t>分值）</w:t>
            </w:r>
          </w:p>
        </w:tc>
        <w:tc>
          <w:tcPr>
            <w:tcW w:w="1955"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CBE60D3">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场站环境</w:t>
            </w:r>
          </w:p>
          <w:p w14:paraId="348CD75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4</w:t>
            </w:r>
            <w:r>
              <w:rPr>
                <w:rFonts w:hint="default" w:ascii="Times New Roman" w:hAnsi="Times New Roman" w:eastAsia="宋体" w:cs="Times New Roman"/>
                <w:color w:val="auto"/>
                <w:kern w:val="0"/>
                <w:szCs w:val="21"/>
                <w:highlight w:val="none"/>
              </w:rPr>
              <w:t>分值）</w:t>
            </w:r>
          </w:p>
        </w:tc>
        <w:tc>
          <w:tcPr>
            <w:tcW w:w="4872" w:type="dxa"/>
            <w:tcBorders>
              <w:top w:val="nil"/>
              <w:left w:val="nil"/>
              <w:bottom w:val="single" w:color="auto" w:sz="4" w:space="0"/>
              <w:right w:val="single" w:color="auto" w:sz="4" w:space="0"/>
            </w:tcBorders>
            <w:shd w:val="clear" w:color="000000" w:fill="FFFFFF"/>
            <w:vAlign w:val="center"/>
          </w:tcPr>
          <w:p w14:paraId="1C3A7485">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场站干净整洁，无可见垃圾；无异味。</w:t>
            </w:r>
          </w:p>
        </w:tc>
        <w:tc>
          <w:tcPr>
            <w:tcW w:w="1271" w:type="dxa"/>
            <w:tcBorders>
              <w:top w:val="nil"/>
              <w:left w:val="nil"/>
              <w:bottom w:val="single" w:color="auto" w:sz="4" w:space="0"/>
              <w:right w:val="single" w:color="auto" w:sz="4" w:space="0"/>
            </w:tcBorders>
            <w:shd w:val="clear" w:color="000000" w:fill="FFFFFF"/>
            <w:vAlign w:val="center"/>
          </w:tcPr>
          <w:p w14:paraId="210E727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几乎每个充电车位均有生活垃圾或有异味或环境很差</w:t>
            </w:r>
          </w:p>
        </w:tc>
        <w:tc>
          <w:tcPr>
            <w:tcW w:w="1246" w:type="dxa"/>
            <w:tcBorders>
              <w:top w:val="nil"/>
              <w:left w:val="nil"/>
              <w:bottom w:val="single" w:color="auto" w:sz="4" w:space="0"/>
              <w:right w:val="single" w:color="auto" w:sz="4" w:space="0"/>
            </w:tcBorders>
            <w:shd w:val="clear" w:color="000000" w:fill="FFFFFF"/>
            <w:vAlign w:val="center"/>
          </w:tcPr>
          <w:p w14:paraId="403EC5C5">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无异味，整个充电场站内有3处以上生活垃圾</w:t>
            </w:r>
          </w:p>
        </w:tc>
        <w:tc>
          <w:tcPr>
            <w:tcW w:w="1170" w:type="dxa"/>
            <w:tcBorders>
              <w:top w:val="nil"/>
              <w:left w:val="nil"/>
              <w:bottom w:val="single" w:color="auto" w:sz="4" w:space="0"/>
              <w:right w:val="single" w:color="auto" w:sz="4" w:space="0"/>
            </w:tcBorders>
            <w:shd w:val="clear" w:color="000000" w:fill="FFFFFF"/>
            <w:vAlign w:val="center"/>
          </w:tcPr>
          <w:p w14:paraId="5515B61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无异味，充电场站内1～3处生活垃圾，环境一般</w:t>
            </w:r>
          </w:p>
        </w:tc>
        <w:tc>
          <w:tcPr>
            <w:tcW w:w="1240" w:type="dxa"/>
            <w:tcBorders>
              <w:top w:val="nil"/>
              <w:left w:val="nil"/>
              <w:bottom w:val="single" w:color="auto" w:sz="4" w:space="0"/>
              <w:right w:val="single" w:color="auto" w:sz="4" w:space="0"/>
            </w:tcBorders>
            <w:shd w:val="clear" w:color="000000" w:fill="FFFFFF"/>
            <w:vAlign w:val="center"/>
          </w:tcPr>
          <w:p w14:paraId="798CA63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无异味，充电场站内无生活垃圾，但地面不整洁</w:t>
            </w:r>
          </w:p>
        </w:tc>
        <w:tc>
          <w:tcPr>
            <w:tcW w:w="1064" w:type="dxa"/>
            <w:tcBorders>
              <w:top w:val="nil"/>
              <w:left w:val="nil"/>
              <w:bottom w:val="single" w:color="auto" w:sz="4" w:space="0"/>
              <w:right w:val="single" w:color="auto" w:sz="4" w:space="0"/>
            </w:tcBorders>
            <w:shd w:val="clear" w:color="000000" w:fill="FFFFFF"/>
            <w:vAlign w:val="center"/>
          </w:tcPr>
          <w:p w14:paraId="2C6810ED">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无异味，充电场站内无生活垃圾且地面整洁</w:t>
            </w:r>
          </w:p>
        </w:tc>
      </w:tr>
      <w:tr w14:paraId="39D1B855">
        <w:tblPrEx>
          <w:tblCellMar>
            <w:top w:w="0" w:type="dxa"/>
            <w:left w:w="108" w:type="dxa"/>
            <w:bottom w:w="0" w:type="dxa"/>
            <w:right w:w="108" w:type="dxa"/>
          </w:tblCellMar>
        </w:tblPrEx>
        <w:trPr>
          <w:trHeight w:val="3232" w:hRule="atLeast"/>
          <w:jc w:val="center"/>
        </w:trPr>
        <w:tc>
          <w:tcPr>
            <w:tcW w:w="1141" w:type="dxa"/>
            <w:vMerge w:val="continue"/>
            <w:tcBorders>
              <w:left w:val="single" w:color="auto" w:sz="4" w:space="0"/>
              <w:bottom w:val="single" w:color="auto" w:sz="4" w:space="0"/>
              <w:right w:val="single" w:color="auto" w:sz="4" w:space="0"/>
            </w:tcBorders>
            <w:vAlign w:val="center"/>
          </w:tcPr>
          <w:p w14:paraId="6CCC80E0">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bookmarkStart w:id="102" w:name="OLE_LINK48" w:colFirst="6" w:colLast="7"/>
          </w:p>
        </w:tc>
        <w:tc>
          <w:tcPr>
            <w:tcW w:w="1955"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3BDF3D2">
            <w:pPr>
              <w:keepLines w:val="0"/>
              <w:pageBreakBefore w:val="0"/>
              <w:kinsoku/>
              <w:wordWrap/>
              <w:overflowPunct/>
              <w:topLinePunct w:val="0"/>
              <w:bidi w:val="0"/>
              <w:adjustRightInd/>
              <w:snapToGrid/>
              <w:spacing w:line="259" w:lineRule="auto"/>
              <w:ind w:right="19" w:firstLine="0" w:firstLineChars="0"/>
              <w:jc w:val="center"/>
              <w:rPr>
                <w:rFonts w:hint="default" w:ascii="Times New Roman" w:hAnsi="Times New Roman" w:eastAsia="宋体" w:cs="Times New Roman"/>
                <w:color w:val="auto"/>
                <w:szCs w:val="32"/>
                <w:highlight w:val="none"/>
              </w:rPr>
            </w:pPr>
            <w:bookmarkStart w:id="103" w:name="OLE_LINK42"/>
            <w:bookmarkStart w:id="104" w:name="OLE_LINK114"/>
            <w:r>
              <w:rPr>
                <w:rFonts w:hint="default" w:ascii="Times New Roman" w:hAnsi="Times New Roman" w:eastAsia="宋体" w:cs="Times New Roman"/>
                <w:color w:val="auto"/>
                <w:szCs w:val="32"/>
                <w:highlight w:val="none"/>
              </w:rPr>
              <w:t>充电噪声水平</w:t>
            </w:r>
            <w:bookmarkEnd w:id="103"/>
          </w:p>
          <w:bookmarkEnd w:id="104"/>
          <w:p w14:paraId="462C27F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szCs w:val="32"/>
                <w:highlight w:val="none"/>
              </w:rPr>
              <w:t>（5分值）</w:t>
            </w:r>
          </w:p>
        </w:tc>
        <w:tc>
          <w:tcPr>
            <w:tcW w:w="4872" w:type="dxa"/>
            <w:tcBorders>
              <w:top w:val="nil"/>
              <w:left w:val="nil"/>
              <w:bottom w:val="single" w:color="auto" w:sz="4" w:space="0"/>
              <w:right w:val="single" w:color="auto" w:sz="4" w:space="0"/>
            </w:tcBorders>
            <w:shd w:val="clear" w:color="000000" w:fill="FFFFFF"/>
            <w:vAlign w:val="center"/>
          </w:tcPr>
          <w:p w14:paraId="697641A1">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b w:val="0"/>
                <w:bCs w:val="0"/>
                <w:color w:val="auto"/>
                <w:sz w:val="21"/>
                <w:szCs w:val="21"/>
                <w:lang w:val="en-US" w:eastAsia="zh-CN"/>
              </w:rPr>
            </w:pPr>
            <w:bookmarkStart w:id="105" w:name="OLE_LINK140"/>
            <w:r>
              <w:rPr>
                <w:rFonts w:hint="default" w:ascii="Times New Roman" w:hAnsi="Times New Roman" w:eastAsia="宋体" w:cs="Times New Roman"/>
                <w:color w:val="auto"/>
                <w:szCs w:val="32"/>
                <w:highlight w:val="none"/>
                <w:lang w:val="en-US" w:eastAsia="zh-CN"/>
              </w:rPr>
              <w:t>居民区附近应控制设备噪声。</w:t>
            </w:r>
            <w:r>
              <w:rPr>
                <w:rFonts w:hint="eastAsia" w:eastAsia="宋体" w:cs="Times New Roman"/>
                <w:color w:val="auto"/>
                <w:szCs w:val="32"/>
                <w:highlight w:val="none"/>
                <w:lang w:val="en-US" w:eastAsia="zh-CN"/>
              </w:rPr>
              <w:t>充电设备</w:t>
            </w:r>
            <w:r>
              <w:rPr>
                <w:rFonts w:hint="default" w:ascii="Times New Roman" w:hAnsi="Times New Roman" w:eastAsia="宋体" w:cs="Times New Roman"/>
                <w:color w:val="auto"/>
                <w:szCs w:val="32"/>
                <w:highlight w:val="none"/>
                <w:lang w:val="en-US" w:eastAsia="zh-CN"/>
              </w:rPr>
              <w:t>需具有型式试验报告</w:t>
            </w:r>
            <w:r>
              <w:rPr>
                <w:rFonts w:hint="eastAsia" w:eastAsia="宋体" w:cs="Times New Roman"/>
                <w:color w:val="auto"/>
                <w:szCs w:val="32"/>
                <w:highlight w:val="none"/>
                <w:lang w:val="en-US" w:eastAsia="zh-CN"/>
              </w:rPr>
              <w:t>，</w:t>
            </w:r>
            <w:r>
              <w:rPr>
                <w:rFonts w:hint="default" w:ascii="Times New Roman" w:hAnsi="Times New Roman" w:eastAsia="宋体" w:cs="Times New Roman"/>
                <w:color w:val="auto"/>
                <w:szCs w:val="21"/>
                <w:highlight w:val="none"/>
                <w:lang w:val="en-US" w:eastAsia="zh-CN"/>
              </w:rPr>
              <w:t>噪声最大值/</w:t>
            </w:r>
            <w:r>
              <w:rPr>
                <w:rFonts w:hint="default" w:ascii="Times New Roman" w:hAnsi="Times New Roman" w:eastAsia="宋体" w:cs="Times New Roman"/>
                <w:b w:val="0"/>
                <w:bCs w:val="0"/>
                <w:color w:val="auto"/>
                <w:sz w:val="21"/>
                <w:szCs w:val="21"/>
                <w:lang w:val="en-US" w:eastAsia="zh-CN"/>
              </w:rPr>
              <w:t>db（A）分级要求</w:t>
            </w:r>
            <w:r>
              <w:rPr>
                <w:rFonts w:hint="default" w:ascii="Times New Roman" w:hAnsi="Times New Roman" w:eastAsia="宋体" w:cs="Times New Roman"/>
                <w:color w:val="auto"/>
                <w:szCs w:val="21"/>
                <w:highlight w:val="none"/>
                <w:lang w:val="en-US" w:eastAsia="zh-CN"/>
              </w:rPr>
              <w:t>：</w:t>
            </w:r>
            <w:r>
              <w:rPr>
                <w:rFonts w:hint="default" w:ascii="Times New Roman" w:hAnsi="Times New Roman" w:eastAsia="宋体" w:cs="Times New Roman"/>
                <w:color w:val="auto"/>
                <w:szCs w:val="32"/>
                <w:highlight w:val="none"/>
                <w:lang w:val="en-US" w:eastAsia="zh-CN"/>
              </w:rPr>
              <w:br w:type="textWrapping"/>
            </w:r>
            <w:bookmarkStart w:id="106" w:name="OLE_LINK71"/>
            <w:r>
              <w:rPr>
                <w:rFonts w:hint="default" w:ascii="Times New Roman" w:hAnsi="Times New Roman" w:eastAsia="宋体" w:cs="Times New Roman"/>
                <w:b w:val="0"/>
                <w:bCs w:val="0"/>
                <w:color w:val="auto"/>
                <w:sz w:val="21"/>
                <w:szCs w:val="21"/>
              </w:rPr>
              <w:t>Ⅰ</w:t>
            </w:r>
            <w:r>
              <w:rPr>
                <w:rFonts w:hint="default" w:ascii="Times New Roman" w:hAnsi="Times New Roman" w:eastAsia="宋体" w:cs="Times New Roman"/>
                <w:color w:val="auto"/>
                <w:szCs w:val="21"/>
                <w:highlight w:val="none"/>
                <w:lang w:val="en-US" w:eastAsia="zh-CN"/>
              </w:rPr>
              <w:t>级：</w:t>
            </w:r>
            <w:r>
              <w:rPr>
                <w:rFonts w:hint="default" w:ascii="Times New Roman" w:hAnsi="Times New Roman" w:eastAsia="宋体" w:cs="Times New Roman"/>
                <w:b w:val="0"/>
                <w:bCs w:val="0"/>
                <w:color w:val="auto"/>
                <w:sz w:val="21"/>
                <w:szCs w:val="21"/>
              </w:rPr>
              <w:t>噪声≤55</w:t>
            </w:r>
            <w:bookmarkEnd w:id="106"/>
          </w:p>
          <w:p w14:paraId="6629C479">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b w:val="0"/>
                <w:bCs w:val="0"/>
                <w:color w:val="auto"/>
                <w:sz w:val="21"/>
                <w:szCs w:val="21"/>
              </w:rPr>
              <w:t>Ⅱ</w:t>
            </w:r>
            <w:bookmarkStart w:id="107" w:name="OLE_LINK73"/>
            <w:r>
              <w:rPr>
                <w:rFonts w:hint="default" w:ascii="Times New Roman" w:hAnsi="Times New Roman" w:eastAsia="宋体" w:cs="Times New Roman"/>
                <w:color w:val="auto"/>
                <w:szCs w:val="21"/>
                <w:highlight w:val="none"/>
                <w:lang w:val="en-US" w:eastAsia="zh-CN"/>
              </w:rPr>
              <w:t>级：55＜</w:t>
            </w:r>
            <w:r>
              <w:rPr>
                <w:rFonts w:hint="default" w:ascii="Times New Roman" w:hAnsi="Times New Roman" w:eastAsia="宋体" w:cs="Times New Roman"/>
                <w:b w:val="0"/>
                <w:bCs w:val="0"/>
                <w:color w:val="auto"/>
                <w:sz w:val="21"/>
                <w:szCs w:val="21"/>
              </w:rPr>
              <w:t>噪声≤</w:t>
            </w:r>
            <w:r>
              <w:rPr>
                <w:rFonts w:hint="default" w:ascii="Times New Roman" w:hAnsi="Times New Roman" w:eastAsia="宋体" w:cs="Times New Roman"/>
                <w:b w:val="0"/>
                <w:bCs w:val="0"/>
                <w:color w:val="auto"/>
                <w:sz w:val="21"/>
                <w:szCs w:val="21"/>
                <w:lang w:val="en-US" w:eastAsia="zh-CN"/>
              </w:rPr>
              <w:t>6</w:t>
            </w:r>
            <w:r>
              <w:rPr>
                <w:rFonts w:hint="default" w:ascii="Times New Roman" w:hAnsi="Times New Roman" w:eastAsia="宋体" w:cs="Times New Roman"/>
                <w:b w:val="0"/>
                <w:bCs w:val="0"/>
                <w:color w:val="auto"/>
                <w:sz w:val="21"/>
                <w:szCs w:val="21"/>
              </w:rPr>
              <w:t>5</w:t>
            </w:r>
            <w:bookmarkEnd w:id="107"/>
            <w:r>
              <w:rPr>
                <w:rFonts w:hint="default" w:ascii="Times New Roman" w:hAnsi="Times New Roman" w:eastAsia="宋体" w:cs="Times New Roman"/>
                <w:b w:val="0"/>
                <w:bCs w:val="0"/>
                <w:color w:val="auto"/>
                <w:sz w:val="21"/>
                <w:szCs w:val="21"/>
              </w:rPr>
              <w:br w:type="textWrapping"/>
            </w:r>
            <w:r>
              <w:rPr>
                <w:rFonts w:hint="default" w:ascii="Times New Roman" w:hAnsi="Times New Roman" w:eastAsia="宋体" w:cs="Times New Roman"/>
                <w:b w:val="0"/>
                <w:bCs w:val="0"/>
                <w:color w:val="auto"/>
                <w:sz w:val="21"/>
                <w:szCs w:val="21"/>
              </w:rPr>
              <w:t>Ⅲ</w:t>
            </w:r>
            <w:r>
              <w:rPr>
                <w:rFonts w:hint="default" w:ascii="Times New Roman" w:hAnsi="Times New Roman" w:eastAsia="宋体" w:cs="Times New Roman"/>
                <w:color w:val="auto"/>
                <w:szCs w:val="21"/>
                <w:highlight w:val="none"/>
                <w:lang w:val="en-US" w:eastAsia="zh-CN"/>
              </w:rPr>
              <w:t>级：65＜</w:t>
            </w:r>
            <w:r>
              <w:rPr>
                <w:rFonts w:hint="default" w:ascii="Times New Roman" w:hAnsi="Times New Roman" w:eastAsia="宋体" w:cs="Times New Roman"/>
                <w:b w:val="0"/>
                <w:bCs w:val="0"/>
                <w:color w:val="auto"/>
                <w:sz w:val="21"/>
                <w:szCs w:val="21"/>
              </w:rPr>
              <w:t>噪声≤</w:t>
            </w:r>
            <w:r>
              <w:rPr>
                <w:rFonts w:hint="default" w:ascii="Times New Roman" w:hAnsi="Times New Roman" w:eastAsia="宋体" w:cs="Times New Roman"/>
                <w:b w:val="0"/>
                <w:bCs w:val="0"/>
                <w:color w:val="auto"/>
                <w:sz w:val="21"/>
                <w:szCs w:val="21"/>
                <w:lang w:val="en-US" w:eastAsia="zh-CN"/>
              </w:rPr>
              <w:t>80</w:t>
            </w:r>
            <w:r>
              <w:rPr>
                <w:rFonts w:hint="default" w:ascii="Times New Roman" w:hAnsi="Times New Roman" w:eastAsia="宋体" w:cs="Times New Roman"/>
                <w:b w:val="0"/>
                <w:bCs w:val="0"/>
                <w:color w:val="auto"/>
                <w:sz w:val="21"/>
                <w:szCs w:val="21"/>
              </w:rPr>
              <w:br w:type="textWrapping"/>
            </w:r>
            <w:bookmarkStart w:id="108" w:name="OLE_LINK74"/>
            <w:r>
              <w:rPr>
                <w:rFonts w:hint="default" w:ascii="Times New Roman" w:hAnsi="Times New Roman" w:eastAsia="宋体" w:cs="Times New Roman"/>
                <w:b w:val="0"/>
                <w:bCs w:val="0"/>
                <w:color w:val="auto"/>
                <w:sz w:val="21"/>
                <w:szCs w:val="21"/>
              </w:rPr>
              <w:t>Ⅳ</w:t>
            </w:r>
            <w:bookmarkEnd w:id="108"/>
            <w:r>
              <w:rPr>
                <w:rFonts w:hint="default" w:ascii="Times New Roman" w:hAnsi="Times New Roman" w:eastAsia="宋体" w:cs="Times New Roman"/>
                <w:color w:val="auto"/>
                <w:szCs w:val="21"/>
                <w:highlight w:val="none"/>
                <w:lang w:val="en-US" w:eastAsia="zh-CN"/>
              </w:rPr>
              <w:t>级：</w:t>
            </w:r>
            <w:r>
              <w:rPr>
                <w:rFonts w:hint="default" w:ascii="Times New Roman" w:hAnsi="Times New Roman" w:eastAsia="宋体" w:cs="Times New Roman"/>
                <w:b w:val="0"/>
                <w:bCs w:val="0"/>
                <w:color w:val="auto"/>
                <w:sz w:val="21"/>
                <w:szCs w:val="21"/>
              </w:rPr>
              <w:t>噪声</w:t>
            </w:r>
            <w:r>
              <w:rPr>
                <w:rFonts w:hint="default" w:ascii="Times New Roman" w:hAnsi="Times New Roman" w:eastAsia="宋体" w:cs="Times New Roman"/>
                <w:b w:val="0"/>
                <w:bCs w:val="0"/>
                <w:color w:val="auto"/>
                <w:sz w:val="21"/>
                <w:szCs w:val="21"/>
                <w:lang w:val="en-US" w:eastAsia="zh-CN"/>
              </w:rPr>
              <w:t>＞80</w:t>
            </w:r>
            <w:bookmarkEnd w:id="105"/>
          </w:p>
          <w:p w14:paraId="53D0311D">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lang w:val="en-US" w:eastAsia="zh-CN"/>
              </w:rPr>
            </w:pPr>
            <w:r>
              <w:rPr>
                <w:rFonts w:hint="eastAsia" w:eastAsia="宋体" w:cs="Times New Roman"/>
                <w:b w:val="0"/>
                <w:bCs w:val="0"/>
                <w:color w:val="auto"/>
                <w:sz w:val="21"/>
                <w:szCs w:val="21"/>
                <w:lang w:val="en-US" w:eastAsia="zh-CN"/>
              </w:rPr>
              <w:t>现场测试要求：充电机在额定最大功率且达到热稳定后，距离充电机水平位置1m处，离地面高度1～1.5m处测量噪声，噪声值控制在70</w:t>
            </w:r>
            <w:r>
              <w:rPr>
                <w:rFonts w:hint="default" w:ascii="Times New Roman" w:hAnsi="Times New Roman" w:eastAsia="宋体" w:cs="Times New Roman"/>
                <w:b w:val="0"/>
                <w:bCs w:val="0"/>
                <w:color w:val="auto"/>
                <w:sz w:val="21"/>
                <w:szCs w:val="21"/>
                <w:lang w:val="en-US" w:eastAsia="zh-CN"/>
              </w:rPr>
              <w:t>db（A）</w:t>
            </w:r>
            <w:r>
              <w:rPr>
                <w:rFonts w:hint="eastAsia" w:eastAsia="宋体" w:cs="Times New Roman"/>
                <w:b w:val="0"/>
                <w:bCs w:val="0"/>
                <w:color w:val="auto"/>
                <w:sz w:val="21"/>
                <w:szCs w:val="21"/>
                <w:lang w:val="en-US" w:eastAsia="zh-CN"/>
              </w:rPr>
              <w:t>以下，场站中心位置和噪声源处的差值（距离宜超过20米），噪声差值宜控制在20</w:t>
            </w:r>
            <w:r>
              <w:rPr>
                <w:rFonts w:hint="default" w:ascii="Times New Roman" w:hAnsi="Times New Roman" w:eastAsia="宋体" w:cs="Times New Roman"/>
                <w:b w:val="0"/>
                <w:bCs w:val="0"/>
                <w:color w:val="auto"/>
                <w:sz w:val="21"/>
                <w:szCs w:val="21"/>
                <w:lang w:val="en-US" w:eastAsia="zh-CN"/>
              </w:rPr>
              <w:t>db（A）</w:t>
            </w:r>
            <w:r>
              <w:rPr>
                <w:rFonts w:hint="eastAsia" w:eastAsia="宋体" w:cs="Times New Roman"/>
                <w:b w:val="0"/>
                <w:bCs w:val="0"/>
                <w:color w:val="auto"/>
                <w:sz w:val="21"/>
                <w:szCs w:val="21"/>
                <w:lang w:val="en-US" w:eastAsia="zh-CN"/>
              </w:rPr>
              <w:t>以下。</w:t>
            </w:r>
          </w:p>
        </w:tc>
        <w:tc>
          <w:tcPr>
            <w:tcW w:w="1271" w:type="dxa"/>
            <w:tcBorders>
              <w:top w:val="nil"/>
              <w:left w:val="nil"/>
              <w:bottom w:val="single" w:color="auto" w:sz="4" w:space="0"/>
              <w:right w:val="single" w:color="auto" w:sz="4" w:space="0"/>
            </w:tcBorders>
            <w:shd w:val="clear" w:color="000000" w:fill="FFFFFF"/>
            <w:vAlign w:val="center"/>
          </w:tcPr>
          <w:p w14:paraId="454AB88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b w:val="0"/>
                <w:bCs w:val="0"/>
                <w:color w:val="auto"/>
                <w:sz w:val="21"/>
                <w:szCs w:val="21"/>
              </w:rPr>
              <w:t>Ⅳ</w:t>
            </w:r>
            <w:r>
              <w:rPr>
                <w:rFonts w:hint="default" w:ascii="Times New Roman" w:hAnsi="Times New Roman" w:eastAsia="宋体" w:cs="Times New Roman"/>
                <w:b w:val="0"/>
                <w:bCs w:val="0"/>
                <w:color w:val="auto"/>
                <w:sz w:val="21"/>
                <w:szCs w:val="21"/>
                <w:lang w:val="en-US" w:eastAsia="zh-CN"/>
              </w:rPr>
              <w:t>级</w:t>
            </w:r>
          </w:p>
        </w:tc>
        <w:tc>
          <w:tcPr>
            <w:tcW w:w="1246" w:type="dxa"/>
            <w:tcBorders>
              <w:top w:val="nil"/>
              <w:left w:val="nil"/>
              <w:bottom w:val="single" w:color="auto" w:sz="4" w:space="0"/>
              <w:right w:val="single" w:color="auto" w:sz="4" w:space="0"/>
            </w:tcBorders>
            <w:shd w:val="clear" w:color="000000" w:fill="FFFFFF"/>
            <w:vAlign w:val="center"/>
          </w:tcPr>
          <w:p w14:paraId="18FC8583">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b w:val="0"/>
                <w:bCs w:val="0"/>
                <w:color w:val="auto"/>
                <w:sz w:val="18"/>
                <w:szCs w:val="18"/>
              </w:rPr>
              <w:t>Ⅲ</w:t>
            </w:r>
            <w:r>
              <w:rPr>
                <w:rFonts w:hint="default" w:ascii="Times New Roman" w:hAnsi="Times New Roman" w:eastAsia="宋体" w:cs="Times New Roman"/>
                <w:color w:val="auto"/>
                <w:szCs w:val="32"/>
                <w:highlight w:val="none"/>
                <w:lang w:val="en-US" w:eastAsia="zh-CN"/>
              </w:rPr>
              <w:t>级</w:t>
            </w:r>
          </w:p>
        </w:tc>
        <w:tc>
          <w:tcPr>
            <w:tcW w:w="1170" w:type="dxa"/>
            <w:tcBorders>
              <w:top w:val="nil"/>
              <w:left w:val="nil"/>
              <w:bottom w:val="single" w:color="auto" w:sz="4" w:space="0"/>
              <w:right w:val="single" w:color="auto" w:sz="4" w:space="0"/>
            </w:tcBorders>
            <w:shd w:val="clear" w:color="000000" w:fill="FFFFFF"/>
            <w:vAlign w:val="center"/>
          </w:tcPr>
          <w:p w14:paraId="3C35315F">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109" w:name="OLE_LINK72"/>
            <w:r>
              <w:rPr>
                <w:rFonts w:hint="default" w:ascii="Times New Roman" w:hAnsi="Times New Roman" w:eastAsia="宋体" w:cs="Times New Roman"/>
                <w:b w:val="0"/>
                <w:bCs w:val="0"/>
                <w:color w:val="auto"/>
                <w:sz w:val="18"/>
                <w:szCs w:val="18"/>
              </w:rPr>
              <w:t>Ⅱ</w:t>
            </w:r>
            <w:bookmarkEnd w:id="109"/>
            <w:r>
              <w:rPr>
                <w:rFonts w:hint="default" w:ascii="Times New Roman" w:hAnsi="Times New Roman" w:eastAsia="宋体" w:cs="Times New Roman"/>
                <w:color w:val="auto"/>
                <w:szCs w:val="32"/>
                <w:highlight w:val="none"/>
                <w:lang w:val="en-US" w:eastAsia="zh-CN"/>
              </w:rPr>
              <w:t>级</w:t>
            </w:r>
          </w:p>
        </w:tc>
        <w:tc>
          <w:tcPr>
            <w:tcW w:w="1240" w:type="dxa"/>
            <w:tcBorders>
              <w:top w:val="nil"/>
              <w:left w:val="nil"/>
              <w:bottom w:val="single" w:color="auto" w:sz="4" w:space="0"/>
              <w:right w:val="single" w:color="auto" w:sz="4" w:space="0"/>
            </w:tcBorders>
            <w:shd w:val="clear" w:color="000000" w:fill="FFFFFF"/>
            <w:vAlign w:val="center"/>
          </w:tcPr>
          <w:p w14:paraId="3E62503D">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lang w:val="en-US"/>
              </w:rPr>
            </w:pPr>
            <w:bookmarkStart w:id="110" w:name="OLE_LINK69"/>
            <w:bookmarkStart w:id="111" w:name="OLE_LINK70"/>
            <w:r>
              <w:rPr>
                <w:rFonts w:hint="default" w:ascii="Times New Roman" w:hAnsi="Times New Roman" w:eastAsia="宋体" w:cs="Times New Roman"/>
                <w:b w:val="0"/>
                <w:bCs w:val="0"/>
                <w:color w:val="auto"/>
                <w:sz w:val="18"/>
                <w:szCs w:val="18"/>
              </w:rPr>
              <w:t>Ⅰ</w:t>
            </w:r>
            <w:bookmarkEnd w:id="110"/>
            <w:r>
              <w:rPr>
                <w:rFonts w:hint="default" w:ascii="Times New Roman" w:hAnsi="Times New Roman" w:eastAsia="宋体" w:cs="Times New Roman"/>
                <w:color w:val="auto"/>
                <w:szCs w:val="32"/>
                <w:highlight w:val="none"/>
                <w:lang w:val="en-US" w:eastAsia="zh-CN"/>
              </w:rPr>
              <w:t>级</w:t>
            </w:r>
            <w:bookmarkEnd w:id="111"/>
            <w:r>
              <w:rPr>
                <w:rFonts w:hint="default" w:ascii="Times New Roman" w:hAnsi="Times New Roman" w:eastAsia="宋体" w:cs="Times New Roman"/>
                <w:color w:val="auto"/>
                <w:szCs w:val="32"/>
                <w:highlight w:val="none"/>
                <w:lang w:val="en-US" w:eastAsia="zh-CN"/>
              </w:rPr>
              <w:t>且现场测试噪声控制较差</w:t>
            </w:r>
          </w:p>
        </w:tc>
        <w:tc>
          <w:tcPr>
            <w:tcW w:w="1064" w:type="dxa"/>
            <w:tcBorders>
              <w:top w:val="nil"/>
              <w:left w:val="nil"/>
              <w:bottom w:val="single" w:color="auto" w:sz="4" w:space="0"/>
              <w:right w:val="single" w:color="auto" w:sz="4" w:space="0"/>
            </w:tcBorders>
            <w:shd w:val="clear" w:color="000000" w:fill="FFFFFF"/>
            <w:vAlign w:val="center"/>
          </w:tcPr>
          <w:p w14:paraId="12679BE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lang w:val="en-US" w:eastAsia="zh-CN"/>
              </w:rPr>
            </w:pPr>
            <w:bookmarkStart w:id="112" w:name="OLE_LINK75"/>
            <w:r>
              <w:rPr>
                <w:rFonts w:hint="default" w:ascii="Times New Roman" w:hAnsi="Times New Roman" w:eastAsia="宋体" w:cs="Times New Roman"/>
                <w:b w:val="0"/>
                <w:bCs w:val="0"/>
                <w:color w:val="auto"/>
                <w:sz w:val="18"/>
                <w:szCs w:val="18"/>
              </w:rPr>
              <w:t>Ⅰ</w:t>
            </w:r>
            <w:r>
              <w:rPr>
                <w:rFonts w:hint="default" w:ascii="Times New Roman" w:hAnsi="Times New Roman" w:eastAsia="宋体" w:cs="Times New Roman"/>
                <w:color w:val="auto"/>
                <w:szCs w:val="32"/>
                <w:highlight w:val="none"/>
                <w:lang w:val="en-US" w:eastAsia="zh-CN"/>
              </w:rPr>
              <w:t>级</w:t>
            </w:r>
            <w:bookmarkEnd w:id="112"/>
            <w:bookmarkStart w:id="113" w:name="OLE_LINK84"/>
            <w:r>
              <w:rPr>
                <w:rFonts w:hint="default" w:ascii="Times New Roman" w:hAnsi="Times New Roman" w:eastAsia="宋体" w:cs="Times New Roman"/>
                <w:color w:val="auto"/>
                <w:szCs w:val="32"/>
                <w:highlight w:val="none"/>
                <w:lang w:val="en-US" w:eastAsia="zh-CN"/>
              </w:rPr>
              <w:t>且现场测试噪声控制较好</w:t>
            </w:r>
            <w:bookmarkEnd w:id="113"/>
          </w:p>
        </w:tc>
      </w:tr>
      <w:bookmarkEnd w:id="102"/>
      <w:tr w14:paraId="3B7F0E8B">
        <w:tblPrEx>
          <w:tblCellMar>
            <w:top w:w="0" w:type="dxa"/>
            <w:left w:w="108" w:type="dxa"/>
            <w:bottom w:w="0" w:type="dxa"/>
            <w:right w:w="108" w:type="dxa"/>
          </w:tblCellMar>
        </w:tblPrEx>
        <w:trPr>
          <w:trHeight w:val="961" w:hRule="atLeast"/>
          <w:jc w:val="center"/>
        </w:trPr>
        <w:tc>
          <w:tcPr>
            <w:tcW w:w="1141" w:type="dxa"/>
            <w:vMerge w:val="restart"/>
            <w:tcBorders>
              <w:top w:val="single" w:color="auto" w:sz="4" w:space="0"/>
              <w:left w:val="single" w:color="auto" w:sz="4" w:space="0"/>
              <w:right w:val="single" w:color="auto" w:sz="4" w:space="0"/>
            </w:tcBorders>
            <w:shd w:val="clear" w:color="000000" w:fill="FFFFFF"/>
            <w:vAlign w:val="center"/>
          </w:tcPr>
          <w:p w14:paraId="4DE7439F">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114" w:name="OLE_LINK112"/>
            <w:r>
              <w:rPr>
                <w:rFonts w:hint="default" w:ascii="Times New Roman" w:hAnsi="Times New Roman" w:eastAsia="宋体" w:cs="Times New Roman"/>
                <w:color w:val="auto"/>
                <w:kern w:val="0"/>
                <w:szCs w:val="21"/>
                <w:highlight w:val="none"/>
              </w:rPr>
              <w:t>售后服务（6分值）</w:t>
            </w:r>
            <w:bookmarkEnd w:id="114"/>
          </w:p>
        </w:tc>
        <w:tc>
          <w:tcPr>
            <w:tcW w:w="1955" w:type="dxa"/>
            <w:tcBorders>
              <w:top w:val="single" w:color="auto" w:sz="4" w:space="0"/>
              <w:left w:val="nil"/>
              <w:bottom w:val="single" w:color="auto" w:sz="4" w:space="0"/>
              <w:right w:val="single" w:color="auto" w:sz="4" w:space="0"/>
            </w:tcBorders>
            <w:shd w:val="clear" w:color="000000" w:fill="FFFFFF"/>
            <w:noWrap/>
            <w:vAlign w:val="center"/>
          </w:tcPr>
          <w:p w14:paraId="1402ED8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客服渠道</w:t>
            </w:r>
          </w:p>
          <w:p w14:paraId="4D60AAA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（1分值）</w:t>
            </w:r>
          </w:p>
        </w:tc>
        <w:tc>
          <w:tcPr>
            <w:tcW w:w="4872" w:type="dxa"/>
            <w:tcBorders>
              <w:top w:val="nil"/>
              <w:left w:val="nil"/>
              <w:bottom w:val="single" w:color="auto" w:sz="4" w:space="0"/>
              <w:right w:val="single" w:color="auto" w:sz="4" w:space="0"/>
            </w:tcBorders>
            <w:shd w:val="clear" w:color="000000" w:fill="FFFFFF"/>
            <w:vAlign w:val="center"/>
          </w:tcPr>
          <w:p w14:paraId="2F880BEC">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提供APP线上客服以及7*24小时人工客服</w:t>
            </w:r>
            <w:r>
              <w:rPr>
                <w:rFonts w:hint="eastAsia" w:eastAsia="宋体" w:cs="Times New Roman"/>
                <w:color w:val="auto"/>
                <w:kern w:val="0"/>
                <w:szCs w:val="21"/>
                <w:highlight w:val="none"/>
                <w:lang w:eastAsia="zh-CN"/>
              </w:rPr>
              <w:t>，</w:t>
            </w:r>
            <w:r>
              <w:rPr>
                <w:rFonts w:hint="eastAsia" w:eastAsia="宋体" w:cs="Times New Roman"/>
                <w:color w:val="auto"/>
                <w:kern w:val="0"/>
                <w:szCs w:val="21"/>
                <w:highlight w:val="none"/>
                <w:lang w:val="en-US" w:eastAsia="zh-CN"/>
              </w:rPr>
              <w:t>配置有得满分</w:t>
            </w:r>
            <w:r>
              <w:rPr>
                <w:rFonts w:hint="default" w:ascii="Times New Roman" w:hAnsi="Times New Roman" w:eastAsia="宋体" w:cs="Times New Roman"/>
                <w:color w:val="auto"/>
                <w:kern w:val="0"/>
                <w:szCs w:val="21"/>
                <w:highlight w:val="none"/>
              </w:rPr>
              <w:t>。</w:t>
            </w:r>
          </w:p>
        </w:tc>
        <w:tc>
          <w:tcPr>
            <w:tcW w:w="3687" w:type="dxa"/>
            <w:gridSpan w:val="3"/>
            <w:tcBorders>
              <w:top w:val="nil"/>
              <w:left w:val="nil"/>
              <w:bottom w:val="single" w:color="auto" w:sz="4" w:space="0"/>
              <w:right w:val="single" w:color="auto" w:sz="4" w:space="0"/>
            </w:tcBorders>
            <w:shd w:val="clear" w:color="000000" w:fill="FFFFFF"/>
            <w:vAlign w:val="center"/>
          </w:tcPr>
          <w:p w14:paraId="46C2EF3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无</w:t>
            </w:r>
          </w:p>
        </w:tc>
        <w:tc>
          <w:tcPr>
            <w:tcW w:w="1240" w:type="dxa"/>
            <w:tcBorders>
              <w:top w:val="nil"/>
              <w:left w:val="nil"/>
              <w:bottom w:val="single" w:color="auto" w:sz="4" w:space="0"/>
              <w:right w:val="single" w:color="auto" w:sz="4" w:space="0"/>
            </w:tcBorders>
            <w:shd w:val="clear" w:color="000000" w:fill="FFFFFF"/>
            <w:vAlign w:val="center"/>
          </w:tcPr>
          <w:p w14:paraId="05B721A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有</w:t>
            </w:r>
          </w:p>
        </w:tc>
        <w:tc>
          <w:tcPr>
            <w:tcW w:w="1064" w:type="dxa"/>
            <w:tcBorders>
              <w:top w:val="nil"/>
              <w:left w:val="nil"/>
              <w:bottom w:val="single" w:color="auto" w:sz="4" w:space="0"/>
              <w:right w:val="single" w:color="auto" w:sz="4" w:space="0"/>
            </w:tcBorders>
            <w:shd w:val="clear" w:color="000000" w:fill="FFFFFF"/>
            <w:vAlign w:val="center"/>
          </w:tcPr>
          <w:p w14:paraId="16839916">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115" w:name="OLE_LINK163"/>
            <w:r>
              <w:rPr>
                <w:rFonts w:hint="default" w:ascii="Times New Roman" w:hAnsi="Times New Roman" w:eastAsia="宋体" w:cs="Times New Roman"/>
                <w:color w:val="auto"/>
                <w:kern w:val="0"/>
                <w:szCs w:val="21"/>
                <w:highlight w:val="none"/>
              </w:rPr>
              <w:t>有</w:t>
            </w:r>
            <w:bookmarkEnd w:id="115"/>
          </w:p>
        </w:tc>
      </w:tr>
      <w:tr w14:paraId="1E701692">
        <w:tblPrEx>
          <w:tblCellMar>
            <w:top w:w="0" w:type="dxa"/>
            <w:left w:w="108" w:type="dxa"/>
            <w:bottom w:w="0" w:type="dxa"/>
            <w:right w:w="108" w:type="dxa"/>
          </w:tblCellMar>
        </w:tblPrEx>
        <w:trPr>
          <w:trHeight w:val="1153" w:hRule="atLeast"/>
          <w:jc w:val="center"/>
        </w:trPr>
        <w:tc>
          <w:tcPr>
            <w:tcW w:w="1141" w:type="dxa"/>
            <w:vMerge w:val="continue"/>
            <w:tcBorders>
              <w:left w:val="single" w:color="auto" w:sz="4" w:space="0"/>
              <w:bottom w:val="single" w:color="auto" w:sz="4" w:space="0"/>
              <w:right w:val="single" w:color="auto" w:sz="4" w:space="0"/>
            </w:tcBorders>
            <w:vAlign w:val="center"/>
          </w:tcPr>
          <w:p w14:paraId="168B7DED">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p>
        </w:tc>
        <w:tc>
          <w:tcPr>
            <w:tcW w:w="1955" w:type="dxa"/>
            <w:tcBorders>
              <w:top w:val="nil"/>
              <w:left w:val="nil"/>
              <w:bottom w:val="single" w:color="auto" w:sz="4" w:space="0"/>
              <w:right w:val="single" w:color="auto" w:sz="4" w:space="0"/>
            </w:tcBorders>
            <w:shd w:val="clear" w:color="000000" w:fill="FFFFFF"/>
            <w:noWrap/>
            <w:vAlign w:val="center"/>
          </w:tcPr>
          <w:p w14:paraId="5BE9C7A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客服服务</w:t>
            </w:r>
          </w:p>
          <w:p w14:paraId="240D693D">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（1分值）</w:t>
            </w:r>
          </w:p>
        </w:tc>
        <w:tc>
          <w:tcPr>
            <w:tcW w:w="4872" w:type="dxa"/>
            <w:tcBorders>
              <w:top w:val="nil"/>
              <w:left w:val="nil"/>
              <w:bottom w:val="single" w:color="auto" w:sz="4" w:space="0"/>
              <w:right w:val="single" w:color="auto" w:sz="4" w:space="0"/>
            </w:tcBorders>
            <w:shd w:val="clear" w:color="000000" w:fill="FFFFFF"/>
            <w:vAlign w:val="center"/>
          </w:tcPr>
          <w:p w14:paraId="661CD06C">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配备了客户服务标准问答脚本，覆盖充电指引、支付指引、简易故障在线回复处理等常见问询内容，回复及时，态度良好。</w:t>
            </w:r>
          </w:p>
        </w:tc>
        <w:tc>
          <w:tcPr>
            <w:tcW w:w="4927" w:type="dxa"/>
            <w:gridSpan w:val="4"/>
            <w:tcBorders>
              <w:top w:val="nil"/>
              <w:left w:val="nil"/>
              <w:bottom w:val="single" w:color="auto" w:sz="4" w:space="0"/>
              <w:right w:val="single" w:color="auto" w:sz="4" w:space="0"/>
            </w:tcBorders>
            <w:shd w:val="clear" w:color="000000" w:fill="FFFFFF"/>
            <w:vAlign w:val="center"/>
          </w:tcPr>
          <w:p w14:paraId="5F3AD9E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无</w:t>
            </w:r>
          </w:p>
        </w:tc>
        <w:tc>
          <w:tcPr>
            <w:tcW w:w="1064" w:type="dxa"/>
            <w:tcBorders>
              <w:top w:val="nil"/>
              <w:left w:val="nil"/>
              <w:bottom w:val="single" w:color="auto" w:sz="4" w:space="0"/>
              <w:right w:val="single" w:color="auto" w:sz="4" w:space="0"/>
            </w:tcBorders>
            <w:shd w:val="clear" w:color="000000" w:fill="FFFFFF"/>
            <w:vAlign w:val="center"/>
          </w:tcPr>
          <w:p w14:paraId="3A873692">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有</w:t>
            </w:r>
          </w:p>
        </w:tc>
      </w:tr>
      <w:bookmarkEnd w:id="101"/>
      <w:tr w14:paraId="47B3E850">
        <w:tblPrEx>
          <w:tblCellMar>
            <w:top w:w="0" w:type="dxa"/>
            <w:left w:w="108" w:type="dxa"/>
            <w:bottom w:w="0" w:type="dxa"/>
            <w:right w:w="108" w:type="dxa"/>
          </w:tblCellMar>
        </w:tblPrEx>
        <w:trPr>
          <w:trHeight w:val="1281" w:hRule="atLeast"/>
          <w:jc w:val="center"/>
        </w:trPr>
        <w:tc>
          <w:tcPr>
            <w:tcW w:w="1141" w:type="dxa"/>
            <w:vMerge w:val="restart"/>
            <w:tcBorders>
              <w:top w:val="single" w:color="auto" w:sz="4" w:space="0"/>
              <w:left w:val="single" w:color="auto" w:sz="4" w:space="0"/>
              <w:right w:val="single" w:color="auto" w:sz="4" w:space="0"/>
            </w:tcBorders>
            <w:vAlign w:val="center"/>
          </w:tcPr>
          <w:p w14:paraId="121B2A2A">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售后服务（6分值）</w:t>
            </w:r>
          </w:p>
        </w:tc>
        <w:tc>
          <w:tcPr>
            <w:tcW w:w="1955" w:type="dxa"/>
            <w:tcBorders>
              <w:top w:val="nil"/>
              <w:left w:val="nil"/>
              <w:bottom w:val="single" w:color="auto" w:sz="4" w:space="0"/>
              <w:right w:val="single" w:color="auto" w:sz="4" w:space="0"/>
            </w:tcBorders>
            <w:shd w:val="clear" w:color="000000" w:fill="FFFFFF"/>
            <w:noWrap/>
            <w:vAlign w:val="center"/>
          </w:tcPr>
          <w:p w14:paraId="014DEAE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增值服务</w:t>
            </w:r>
          </w:p>
          <w:p w14:paraId="233A6466">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（3分值）</w:t>
            </w:r>
          </w:p>
        </w:tc>
        <w:tc>
          <w:tcPr>
            <w:tcW w:w="4872" w:type="dxa"/>
            <w:tcBorders>
              <w:top w:val="nil"/>
              <w:left w:val="nil"/>
              <w:bottom w:val="single" w:color="auto" w:sz="4" w:space="0"/>
              <w:right w:val="single" w:color="auto" w:sz="4" w:space="0"/>
            </w:tcBorders>
            <w:shd w:val="clear" w:color="000000" w:fill="FFFFFF"/>
            <w:vAlign w:val="center"/>
          </w:tcPr>
          <w:p w14:paraId="2E92BB7C">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表示充电场站除提供基本的充电服务外还可以提供的附加服务，比如故障报修、一键提醒挪车、免费充气、通信网络良好等。</w:t>
            </w:r>
          </w:p>
        </w:tc>
        <w:tc>
          <w:tcPr>
            <w:tcW w:w="3687" w:type="dxa"/>
            <w:gridSpan w:val="3"/>
            <w:tcBorders>
              <w:top w:val="nil"/>
              <w:left w:val="nil"/>
              <w:bottom w:val="single" w:color="auto" w:sz="4" w:space="0"/>
              <w:right w:val="single" w:color="auto" w:sz="4" w:space="0"/>
            </w:tcBorders>
            <w:shd w:val="clear" w:color="000000" w:fill="FFFFFF"/>
            <w:vAlign w:val="center"/>
          </w:tcPr>
          <w:p w14:paraId="21B5A335">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无</w:t>
            </w:r>
          </w:p>
        </w:tc>
        <w:tc>
          <w:tcPr>
            <w:tcW w:w="1240" w:type="dxa"/>
            <w:tcBorders>
              <w:top w:val="nil"/>
              <w:left w:val="nil"/>
              <w:bottom w:val="single" w:color="auto" w:sz="4" w:space="0"/>
              <w:right w:val="single" w:color="auto" w:sz="4" w:space="0"/>
            </w:tcBorders>
            <w:shd w:val="clear" w:color="000000" w:fill="FFFFFF"/>
            <w:vAlign w:val="center"/>
          </w:tcPr>
          <w:p w14:paraId="0D77187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一项</w:t>
            </w:r>
          </w:p>
        </w:tc>
        <w:tc>
          <w:tcPr>
            <w:tcW w:w="1064" w:type="dxa"/>
            <w:tcBorders>
              <w:top w:val="nil"/>
              <w:left w:val="nil"/>
              <w:bottom w:val="single" w:color="auto" w:sz="4" w:space="0"/>
              <w:right w:val="single" w:color="auto" w:sz="4" w:space="0"/>
            </w:tcBorders>
            <w:shd w:val="clear" w:color="000000" w:fill="FFFFFF"/>
            <w:vAlign w:val="center"/>
          </w:tcPr>
          <w:p w14:paraId="60BA0A73">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一项以上</w:t>
            </w:r>
          </w:p>
        </w:tc>
      </w:tr>
      <w:tr w14:paraId="2EC7DD06">
        <w:tblPrEx>
          <w:tblCellMar>
            <w:top w:w="0" w:type="dxa"/>
            <w:left w:w="108" w:type="dxa"/>
            <w:bottom w:w="0" w:type="dxa"/>
            <w:right w:w="108" w:type="dxa"/>
          </w:tblCellMar>
        </w:tblPrEx>
        <w:trPr>
          <w:trHeight w:val="784" w:hRule="atLeast"/>
          <w:jc w:val="center"/>
        </w:trPr>
        <w:tc>
          <w:tcPr>
            <w:tcW w:w="1141" w:type="dxa"/>
            <w:vMerge w:val="continue"/>
            <w:tcBorders>
              <w:left w:val="single" w:color="auto" w:sz="4" w:space="0"/>
              <w:bottom w:val="single" w:color="auto" w:sz="4" w:space="0"/>
              <w:right w:val="single" w:color="auto" w:sz="4" w:space="0"/>
            </w:tcBorders>
            <w:vAlign w:val="center"/>
          </w:tcPr>
          <w:p w14:paraId="2DB799C1">
            <w:pPr>
              <w:keepLines w:val="0"/>
              <w:pageBreakBefore w:val="0"/>
              <w:widowControl/>
              <w:kinsoku/>
              <w:wordWrap/>
              <w:overflowPunct/>
              <w:topLinePunct w:val="0"/>
              <w:bidi w:val="0"/>
              <w:adjustRightInd/>
              <w:snapToGrid/>
              <w:ind w:firstLine="0" w:firstLineChars="0"/>
              <w:jc w:val="left"/>
              <w:rPr>
                <w:rFonts w:hint="default" w:ascii="Times New Roman" w:hAnsi="Times New Roman" w:eastAsia="宋体" w:cs="Times New Roman"/>
                <w:color w:val="auto"/>
                <w:kern w:val="0"/>
                <w:szCs w:val="21"/>
                <w:highlight w:val="none"/>
              </w:rPr>
            </w:pPr>
          </w:p>
        </w:tc>
        <w:tc>
          <w:tcPr>
            <w:tcW w:w="1955" w:type="dxa"/>
            <w:tcBorders>
              <w:top w:val="nil"/>
              <w:left w:val="nil"/>
              <w:bottom w:val="single" w:color="auto" w:sz="4" w:space="0"/>
              <w:right w:val="single" w:color="auto" w:sz="4" w:space="0"/>
            </w:tcBorders>
            <w:shd w:val="clear" w:color="000000" w:fill="FFFFFF"/>
            <w:noWrap/>
            <w:vAlign w:val="center"/>
          </w:tcPr>
          <w:p w14:paraId="47DC85B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投诉反馈</w:t>
            </w:r>
          </w:p>
          <w:p w14:paraId="5CD4932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（1分值）</w:t>
            </w:r>
          </w:p>
        </w:tc>
        <w:tc>
          <w:tcPr>
            <w:tcW w:w="4872" w:type="dxa"/>
            <w:tcBorders>
              <w:top w:val="nil"/>
              <w:left w:val="nil"/>
              <w:bottom w:val="single" w:color="auto" w:sz="4" w:space="0"/>
              <w:right w:val="single" w:color="auto" w:sz="4" w:space="0"/>
            </w:tcBorders>
            <w:shd w:val="clear" w:color="000000" w:fill="FFFFFF"/>
            <w:vAlign w:val="center"/>
          </w:tcPr>
          <w:p w14:paraId="57306E96">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设置有投诉渠道，用户能采用线上方式对场站服务的水平和能力提出意见。</w:t>
            </w:r>
          </w:p>
        </w:tc>
        <w:tc>
          <w:tcPr>
            <w:tcW w:w="4927" w:type="dxa"/>
            <w:gridSpan w:val="4"/>
            <w:tcBorders>
              <w:top w:val="nil"/>
              <w:left w:val="nil"/>
              <w:bottom w:val="single" w:color="auto" w:sz="4" w:space="0"/>
              <w:right w:val="single" w:color="auto" w:sz="4" w:space="0"/>
            </w:tcBorders>
            <w:shd w:val="clear" w:color="000000" w:fill="FFFFFF"/>
            <w:vAlign w:val="center"/>
          </w:tcPr>
          <w:p w14:paraId="5EA3877F">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无</w:t>
            </w:r>
          </w:p>
        </w:tc>
        <w:tc>
          <w:tcPr>
            <w:tcW w:w="1064" w:type="dxa"/>
            <w:tcBorders>
              <w:top w:val="nil"/>
              <w:left w:val="nil"/>
              <w:bottom w:val="single" w:color="auto" w:sz="4" w:space="0"/>
              <w:right w:val="single" w:color="auto" w:sz="4" w:space="0"/>
            </w:tcBorders>
            <w:shd w:val="clear" w:color="000000" w:fill="FFFFFF"/>
            <w:vAlign w:val="center"/>
          </w:tcPr>
          <w:p w14:paraId="1A78C6E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有</w:t>
            </w:r>
          </w:p>
        </w:tc>
      </w:tr>
      <w:tr w14:paraId="25AA3C49">
        <w:tblPrEx>
          <w:tblCellMar>
            <w:top w:w="0" w:type="dxa"/>
            <w:left w:w="108" w:type="dxa"/>
            <w:bottom w:w="0" w:type="dxa"/>
            <w:right w:w="108" w:type="dxa"/>
          </w:tblCellMar>
        </w:tblPrEx>
        <w:trPr>
          <w:trHeight w:val="1900"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1449EB95">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结算服务（</w:t>
            </w:r>
            <w:r>
              <w:rPr>
                <w:rFonts w:hint="default" w:ascii="Times New Roman" w:hAnsi="Times New Roman" w:eastAsia="宋体" w:cs="Times New Roman"/>
                <w:color w:val="auto"/>
                <w:kern w:val="0"/>
                <w:szCs w:val="21"/>
                <w:highlight w:val="none"/>
                <w:lang w:val="en-US" w:eastAsia="zh-CN"/>
              </w:rPr>
              <w:t>2</w:t>
            </w:r>
            <w:r>
              <w:rPr>
                <w:rFonts w:hint="default" w:ascii="Times New Roman" w:hAnsi="Times New Roman" w:eastAsia="宋体" w:cs="Times New Roman"/>
                <w:color w:val="auto"/>
                <w:kern w:val="0"/>
                <w:szCs w:val="21"/>
                <w:highlight w:val="none"/>
              </w:rPr>
              <w:t>分值）</w:t>
            </w:r>
          </w:p>
        </w:tc>
        <w:tc>
          <w:tcPr>
            <w:tcW w:w="1955"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8544F7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支付方式</w:t>
            </w:r>
          </w:p>
          <w:p w14:paraId="2F5AECE2">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（2分值）</w:t>
            </w:r>
          </w:p>
        </w:tc>
        <w:tc>
          <w:tcPr>
            <w:tcW w:w="4872" w:type="dxa"/>
            <w:tcBorders>
              <w:top w:val="nil"/>
              <w:left w:val="nil"/>
              <w:bottom w:val="single" w:color="auto" w:sz="4" w:space="0"/>
              <w:right w:val="single" w:color="auto" w:sz="4" w:space="0"/>
            </w:tcBorders>
            <w:shd w:val="clear" w:color="000000" w:fill="FFFFFF"/>
            <w:vAlign w:val="center"/>
          </w:tcPr>
          <w:p w14:paraId="0CD82AF4">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支持多种支付方式</w:t>
            </w:r>
            <w:bookmarkStart w:id="116" w:name="OLE_LINK141"/>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rPr>
              <w:t>二维码、刷卡</w:t>
            </w:r>
            <w:r>
              <w:rPr>
                <w:rFonts w:hint="default" w:ascii="Times New Roman" w:hAnsi="Times New Roman" w:eastAsia="宋体" w:cs="Times New Roman"/>
                <w:color w:val="auto"/>
                <w:kern w:val="0"/>
                <w:szCs w:val="21"/>
                <w:highlight w:val="none"/>
                <w:lang w:val="en-US" w:eastAsia="zh-CN"/>
              </w:rPr>
              <w:t>等</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val="en-US" w:eastAsia="zh-CN"/>
              </w:rPr>
              <w:t>宜支持</w:t>
            </w:r>
            <w:r>
              <w:rPr>
                <w:rFonts w:hint="default" w:ascii="Times New Roman" w:hAnsi="Times New Roman" w:eastAsia="宋体" w:cs="Times New Roman"/>
                <w:color w:val="auto"/>
                <w:kern w:val="0"/>
                <w:szCs w:val="21"/>
                <w:highlight w:val="none"/>
              </w:rPr>
              <w:t>即插即充</w:t>
            </w:r>
            <w:r>
              <w:rPr>
                <w:rFonts w:hint="default" w:ascii="Times New Roman" w:hAnsi="Times New Roman" w:eastAsia="宋体" w:cs="Times New Roman"/>
                <w:color w:val="auto"/>
                <w:kern w:val="0"/>
                <w:szCs w:val="21"/>
                <w:highlight w:val="none"/>
                <w:lang w:eastAsia="zh-CN"/>
              </w:rPr>
              <w:t>。</w:t>
            </w:r>
            <w:bookmarkEnd w:id="116"/>
          </w:p>
        </w:tc>
        <w:tc>
          <w:tcPr>
            <w:tcW w:w="3687" w:type="dxa"/>
            <w:gridSpan w:val="3"/>
            <w:tcBorders>
              <w:top w:val="nil"/>
              <w:left w:val="nil"/>
              <w:bottom w:val="single" w:color="auto" w:sz="4" w:space="0"/>
              <w:right w:val="single" w:color="auto" w:sz="4" w:space="0"/>
            </w:tcBorders>
            <w:shd w:val="clear" w:color="000000" w:fill="FFFFFF"/>
            <w:vAlign w:val="center"/>
          </w:tcPr>
          <w:p w14:paraId="3C3C66B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1种</w:t>
            </w:r>
          </w:p>
        </w:tc>
        <w:tc>
          <w:tcPr>
            <w:tcW w:w="1240" w:type="dxa"/>
            <w:tcBorders>
              <w:top w:val="nil"/>
              <w:left w:val="nil"/>
              <w:bottom w:val="single" w:color="auto" w:sz="4" w:space="0"/>
              <w:right w:val="single" w:color="auto" w:sz="4" w:space="0"/>
            </w:tcBorders>
            <w:shd w:val="clear" w:color="000000" w:fill="FFFFFF"/>
            <w:vAlign w:val="center"/>
          </w:tcPr>
          <w:p w14:paraId="75112907">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2种</w:t>
            </w:r>
          </w:p>
        </w:tc>
        <w:tc>
          <w:tcPr>
            <w:tcW w:w="1064" w:type="dxa"/>
            <w:tcBorders>
              <w:top w:val="nil"/>
              <w:left w:val="nil"/>
              <w:bottom w:val="single" w:color="auto" w:sz="4" w:space="0"/>
              <w:right w:val="single" w:color="auto" w:sz="4" w:space="0"/>
            </w:tcBorders>
            <w:shd w:val="clear" w:color="000000" w:fill="FFFFFF"/>
            <w:vAlign w:val="center"/>
          </w:tcPr>
          <w:p w14:paraId="24F718A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全部支持即插即充</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rPr>
              <w:t>注有适用车型标识</w:t>
            </w:r>
            <w:r>
              <w:rPr>
                <w:rFonts w:hint="default" w:ascii="Times New Roman" w:hAnsi="Times New Roman" w:eastAsia="宋体" w:cs="Times New Roman"/>
                <w:color w:val="auto"/>
                <w:kern w:val="0"/>
                <w:szCs w:val="21"/>
                <w:highlight w:val="none"/>
                <w:lang w:eastAsia="zh-CN"/>
              </w:rPr>
              <w:t>）</w:t>
            </w:r>
          </w:p>
        </w:tc>
      </w:tr>
    </w:tbl>
    <w:p w14:paraId="4885C187">
      <w:pPr>
        <w:keepNext/>
        <w:keepLines w:val="0"/>
        <w:pageBreakBefore w:val="0"/>
        <w:tabs>
          <w:tab w:val="left" w:pos="360"/>
          <w:tab w:val="left" w:pos="6405"/>
        </w:tabs>
        <w:kinsoku/>
        <w:wordWrap/>
        <w:overflowPunct/>
        <w:topLinePunct w:val="0"/>
        <w:bidi w:val="0"/>
        <w:adjustRightInd/>
        <w:snapToGrid/>
        <w:spacing w:after="280"/>
        <w:ind w:firstLine="0" w:firstLineChars="0"/>
        <w:rPr>
          <w:rFonts w:hint="default" w:ascii="Times New Roman" w:hAnsi="Times New Roman" w:cs="Times New Roman"/>
          <w:color w:val="auto"/>
        </w:rPr>
      </w:pPr>
      <w:bookmarkStart w:id="117" w:name="_Toc135521538"/>
      <w:bookmarkStart w:id="118" w:name="_Toc135417384"/>
      <w:bookmarkStart w:id="119" w:name="_Toc135644299"/>
    </w:p>
    <w:p w14:paraId="7EF756A9">
      <w:pPr>
        <w:keepNext/>
        <w:keepLines w:val="0"/>
        <w:pageBreakBefore w:val="0"/>
        <w:tabs>
          <w:tab w:val="left" w:pos="360"/>
          <w:tab w:val="left" w:pos="6405"/>
        </w:tabs>
        <w:kinsoku/>
        <w:wordWrap/>
        <w:overflowPunct/>
        <w:topLinePunct w:val="0"/>
        <w:bidi w:val="0"/>
        <w:adjustRightInd/>
        <w:snapToGrid/>
        <w:spacing w:after="280"/>
        <w:ind w:firstLine="0" w:firstLineChars="0"/>
        <w:rPr>
          <w:rFonts w:hint="default" w:ascii="Times New Roman" w:hAnsi="Times New Roman" w:cs="Times New Roman"/>
          <w:color w:val="auto"/>
        </w:rPr>
      </w:pPr>
    </w:p>
    <w:p w14:paraId="7B9E7B24">
      <w:pPr>
        <w:keepNext/>
        <w:keepLines w:val="0"/>
        <w:pageBreakBefore w:val="0"/>
        <w:tabs>
          <w:tab w:val="left" w:pos="360"/>
          <w:tab w:val="left" w:pos="6405"/>
        </w:tabs>
        <w:kinsoku/>
        <w:wordWrap/>
        <w:overflowPunct/>
        <w:topLinePunct w:val="0"/>
        <w:bidi w:val="0"/>
        <w:adjustRightInd/>
        <w:snapToGrid/>
        <w:spacing w:after="280"/>
        <w:ind w:firstLine="0" w:firstLineChars="0"/>
        <w:rPr>
          <w:rFonts w:hint="default" w:ascii="Times New Roman" w:hAnsi="Times New Roman" w:cs="Times New Roman"/>
          <w:color w:val="auto"/>
        </w:rPr>
      </w:pPr>
      <w:r>
        <w:rPr>
          <w:rFonts w:hint="default" w:ascii="Times New Roman" w:hAnsi="Times New Roman" w:cs="Times New Roman"/>
          <w:color w:val="auto"/>
        </w:rPr>
        <w:br w:type="page"/>
      </w:r>
    </w:p>
    <w:bookmarkEnd w:id="117"/>
    <w:bookmarkEnd w:id="118"/>
    <w:bookmarkEnd w:id="119"/>
    <w:tbl>
      <w:tblPr>
        <w:tblStyle w:val="3"/>
        <w:tblW w:w="13999" w:type="dxa"/>
        <w:tblInd w:w="80" w:type="dxa"/>
        <w:tblLayout w:type="fixed"/>
        <w:tblCellMar>
          <w:top w:w="0" w:type="dxa"/>
          <w:left w:w="108" w:type="dxa"/>
          <w:bottom w:w="0" w:type="dxa"/>
          <w:right w:w="108" w:type="dxa"/>
        </w:tblCellMar>
      </w:tblPr>
      <w:tblGrid>
        <w:gridCol w:w="1160"/>
        <w:gridCol w:w="1978"/>
        <w:gridCol w:w="4881"/>
        <w:gridCol w:w="1271"/>
        <w:gridCol w:w="1271"/>
        <w:gridCol w:w="1130"/>
        <w:gridCol w:w="1125"/>
        <w:gridCol w:w="1183"/>
      </w:tblGrid>
      <w:tr w14:paraId="5A3D403B">
        <w:tblPrEx>
          <w:tblCellMar>
            <w:top w:w="0" w:type="dxa"/>
            <w:left w:w="108" w:type="dxa"/>
            <w:bottom w:w="0" w:type="dxa"/>
            <w:right w:w="108" w:type="dxa"/>
          </w:tblCellMar>
        </w:tblPrEx>
        <w:trPr>
          <w:trHeight w:val="90" w:hRule="atLeast"/>
        </w:trPr>
        <w:tc>
          <w:tcPr>
            <w:tcW w:w="8019" w:type="dxa"/>
            <w:gridSpan w:val="3"/>
            <w:tcBorders>
              <w:top w:val="single" w:color="auto" w:sz="4" w:space="0"/>
              <w:left w:val="single" w:color="auto" w:sz="4" w:space="0"/>
              <w:bottom w:val="single" w:color="auto" w:sz="4" w:space="0"/>
              <w:right w:val="single" w:color="000000" w:sz="4" w:space="0"/>
            </w:tcBorders>
            <w:shd w:val="clear" w:color="000000" w:fill="FFFFFF"/>
            <w:noWrap/>
            <w:vAlign w:val="center"/>
          </w:tcPr>
          <w:p w14:paraId="3AE545FA">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绿色低碳</w:t>
            </w:r>
          </w:p>
        </w:tc>
        <w:tc>
          <w:tcPr>
            <w:tcW w:w="5980" w:type="dxa"/>
            <w:gridSpan w:val="5"/>
            <w:tcBorders>
              <w:top w:val="single" w:color="auto" w:sz="4" w:space="0"/>
              <w:left w:val="single" w:color="auto" w:sz="4" w:space="0"/>
              <w:bottom w:val="single" w:color="auto" w:sz="4" w:space="0"/>
              <w:right w:val="single" w:color="000000" w:sz="4" w:space="0"/>
            </w:tcBorders>
            <w:shd w:val="clear" w:color="000000" w:fill="FFFFFF"/>
            <w:noWrap/>
            <w:vAlign w:val="center"/>
          </w:tcPr>
          <w:p w14:paraId="41492DAD">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分级评价</w:t>
            </w:r>
          </w:p>
        </w:tc>
      </w:tr>
      <w:tr w14:paraId="1C025855">
        <w:tblPrEx>
          <w:tblCellMar>
            <w:top w:w="0" w:type="dxa"/>
            <w:left w:w="108" w:type="dxa"/>
            <w:bottom w:w="0" w:type="dxa"/>
            <w:right w:w="108" w:type="dxa"/>
          </w:tblCellMar>
        </w:tblPrEx>
        <w:trPr>
          <w:trHeight w:val="90" w:hRule="atLeast"/>
        </w:trPr>
        <w:tc>
          <w:tcPr>
            <w:tcW w:w="1160" w:type="dxa"/>
            <w:tcBorders>
              <w:top w:val="nil"/>
              <w:left w:val="single" w:color="auto" w:sz="4" w:space="0"/>
              <w:bottom w:val="single" w:color="auto" w:sz="4" w:space="0"/>
              <w:right w:val="single" w:color="auto" w:sz="4" w:space="0"/>
            </w:tcBorders>
            <w:shd w:val="clear" w:color="000000" w:fill="FFFFFF"/>
            <w:vAlign w:val="center"/>
          </w:tcPr>
          <w:p w14:paraId="612374A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一级指标</w:t>
            </w:r>
          </w:p>
        </w:tc>
        <w:tc>
          <w:tcPr>
            <w:tcW w:w="1978" w:type="dxa"/>
            <w:tcBorders>
              <w:top w:val="nil"/>
              <w:left w:val="nil"/>
              <w:bottom w:val="single" w:color="auto" w:sz="4" w:space="0"/>
              <w:right w:val="single" w:color="auto" w:sz="4" w:space="0"/>
            </w:tcBorders>
            <w:shd w:val="clear" w:color="000000" w:fill="FFFFFF"/>
            <w:noWrap/>
            <w:vAlign w:val="center"/>
          </w:tcPr>
          <w:p w14:paraId="293D0ADD">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二级指标</w:t>
            </w:r>
          </w:p>
        </w:tc>
        <w:tc>
          <w:tcPr>
            <w:tcW w:w="4881" w:type="dxa"/>
            <w:tcBorders>
              <w:top w:val="nil"/>
              <w:left w:val="nil"/>
              <w:bottom w:val="single" w:color="auto" w:sz="4" w:space="0"/>
              <w:right w:val="single" w:color="auto" w:sz="4" w:space="0"/>
            </w:tcBorders>
            <w:shd w:val="clear" w:color="000000" w:fill="FFFFFF"/>
            <w:vAlign w:val="center"/>
          </w:tcPr>
          <w:p w14:paraId="30903084">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说明</w:t>
            </w:r>
          </w:p>
        </w:tc>
        <w:tc>
          <w:tcPr>
            <w:tcW w:w="1271" w:type="dxa"/>
            <w:tcBorders>
              <w:top w:val="nil"/>
              <w:left w:val="nil"/>
              <w:bottom w:val="single" w:color="auto" w:sz="4" w:space="0"/>
              <w:right w:val="single" w:color="auto" w:sz="4" w:space="0"/>
            </w:tcBorders>
            <w:shd w:val="clear" w:color="000000" w:fill="FFFFFF"/>
            <w:vAlign w:val="center"/>
          </w:tcPr>
          <w:p w14:paraId="568988B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一级</w:t>
            </w:r>
          </w:p>
        </w:tc>
        <w:tc>
          <w:tcPr>
            <w:tcW w:w="1271" w:type="dxa"/>
            <w:tcBorders>
              <w:top w:val="nil"/>
              <w:left w:val="nil"/>
              <w:bottom w:val="single" w:color="auto" w:sz="4" w:space="0"/>
              <w:right w:val="single" w:color="auto" w:sz="4" w:space="0"/>
            </w:tcBorders>
            <w:shd w:val="clear" w:color="000000" w:fill="FFFFFF"/>
            <w:vAlign w:val="center"/>
          </w:tcPr>
          <w:p w14:paraId="4F7F9C6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二级</w:t>
            </w:r>
          </w:p>
        </w:tc>
        <w:tc>
          <w:tcPr>
            <w:tcW w:w="1130" w:type="dxa"/>
            <w:tcBorders>
              <w:top w:val="nil"/>
              <w:left w:val="nil"/>
              <w:bottom w:val="single" w:color="auto" w:sz="4" w:space="0"/>
              <w:right w:val="single" w:color="auto" w:sz="4" w:space="0"/>
            </w:tcBorders>
            <w:shd w:val="clear" w:color="000000" w:fill="FFFFFF"/>
            <w:vAlign w:val="center"/>
          </w:tcPr>
          <w:p w14:paraId="460F462E">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三级</w:t>
            </w:r>
          </w:p>
        </w:tc>
        <w:tc>
          <w:tcPr>
            <w:tcW w:w="1125" w:type="dxa"/>
            <w:tcBorders>
              <w:top w:val="nil"/>
              <w:left w:val="nil"/>
              <w:bottom w:val="single" w:color="auto" w:sz="4" w:space="0"/>
              <w:right w:val="single" w:color="auto" w:sz="4" w:space="0"/>
            </w:tcBorders>
            <w:shd w:val="clear" w:color="000000" w:fill="FFFFFF"/>
            <w:vAlign w:val="center"/>
          </w:tcPr>
          <w:p w14:paraId="74DE4115">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四级</w:t>
            </w:r>
          </w:p>
        </w:tc>
        <w:tc>
          <w:tcPr>
            <w:tcW w:w="1183" w:type="dxa"/>
            <w:tcBorders>
              <w:top w:val="nil"/>
              <w:left w:val="nil"/>
              <w:bottom w:val="single" w:color="auto" w:sz="4" w:space="0"/>
              <w:right w:val="single" w:color="auto" w:sz="4" w:space="0"/>
            </w:tcBorders>
            <w:shd w:val="clear" w:color="000000" w:fill="FFFFFF"/>
            <w:vAlign w:val="center"/>
          </w:tcPr>
          <w:p w14:paraId="4523EF64">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2"/>
                <w:szCs w:val="22"/>
              </w:rPr>
              <w:t>五级</w:t>
            </w:r>
          </w:p>
        </w:tc>
      </w:tr>
      <w:tr w14:paraId="26368338">
        <w:tblPrEx>
          <w:tblCellMar>
            <w:top w:w="0" w:type="dxa"/>
            <w:left w:w="108" w:type="dxa"/>
            <w:bottom w:w="0" w:type="dxa"/>
            <w:right w:w="108" w:type="dxa"/>
          </w:tblCellMar>
        </w:tblPrEx>
        <w:trPr>
          <w:trHeight w:val="1537" w:hRule="atLeast"/>
        </w:trPr>
        <w:tc>
          <w:tcPr>
            <w:tcW w:w="1160" w:type="dxa"/>
            <w:tcBorders>
              <w:top w:val="nil"/>
              <w:left w:val="single" w:color="auto" w:sz="4" w:space="0"/>
              <w:bottom w:val="single" w:color="auto" w:sz="4" w:space="0"/>
              <w:right w:val="single" w:color="auto" w:sz="4" w:space="0"/>
            </w:tcBorders>
            <w:shd w:val="clear" w:color="000000" w:fill="FFFFFF"/>
            <w:noWrap/>
            <w:vAlign w:val="center"/>
          </w:tcPr>
          <w:p w14:paraId="3CCB411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设备能耗</w:t>
            </w:r>
          </w:p>
          <w:p w14:paraId="27EAECD3">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bookmarkStart w:id="120" w:name="OLE_LINK20"/>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分值）</w:t>
            </w:r>
            <w:bookmarkEnd w:id="120"/>
          </w:p>
        </w:tc>
        <w:tc>
          <w:tcPr>
            <w:tcW w:w="1978" w:type="dxa"/>
            <w:tcBorders>
              <w:top w:val="nil"/>
              <w:left w:val="nil"/>
              <w:bottom w:val="single" w:color="auto" w:sz="4" w:space="0"/>
              <w:right w:val="single" w:color="auto" w:sz="4" w:space="0"/>
            </w:tcBorders>
            <w:shd w:val="clear" w:color="000000" w:fill="FFFFFF"/>
            <w:noWrap/>
            <w:vAlign w:val="center"/>
          </w:tcPr>
          <w:p w14:paraId="6FE80248">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lang w:val="en-US" w:eastAsia="zh-CN"/>
              </w:rPr>
              <w:t>充电</w:t>
            </w:r>
            <w:r>
              <w:rPr>
                <w:rFonts w:hint="default" w:ascii="Times New Roman" w:hAnsi="Times New Roman" w:eastAsia="宋体" w:cs="Times New Roman"/>
                <w:color w:val="auto"/>
                <w:kern w:val="0"/>
                <w:szCs w:val="21"/>
                <w:highlight w:val="none"/>
              </w:rPr>
              <w:t>效率</w:t>
            </w:r>
          </w:p>
          <w:p w14:paraId="4F13457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w:t>
            </w:r>
            <w:r>
              <w:rPr>
                <w:rFonts w:hint="default" w:ascii="Times New Roman" w:hAnsi="Times New Roman"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分值）</w:t>
            </w:r>
          </w:p>
        </w:tc>
        <w:tc>
          <w:tcPr>
            <w:tcW w:w="4881" w:type="dxa"/>
            <w:tcBorders>
              <w:top w:val="nil"/>
              <w:left w:val="nil"/>
              <w:bottom w:val="single" w:color="auto" w:sz="4" w:space="0"/>
              <w:right w:val="single" w:color="auto" w:sz="4" w:space="0"/>
            </w:tcBorders>
            <w:shd w:val="clear" w:color="000000" w:fill="FFFFFF"/>
            <w:vAlign w:val="center"/>
          </w:tcPr>
          <w:p w14:paraId="6B77DC9D">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bookmarkStart w:id="121" w:name="OLE_LINK142"/>
            <w:r>
              <w:rPr>
                <w:rFonts w:hint="default" w:ascii="Times New Roman" w:hAnsi="Times New Roman" w:eastAsia="宋体" w:cs="Times New Roman"/>
                <w:color w:val="auto"/>
                <w:kern w:val="0"/>
                <w:szCs w:val="21"/>
                <w:highlight w:val="none"/>
              </w:rPr>
              <w:t>η——</w:t>
            </w:r>
            <w:r>
              <w:rPr>
                <w:rFonts w:hint="default" w:ascii="Times New Roman" w:hAnsi="Times New Roman" w:eastAsia="宋体" w:cs="Times New Roman"/>
                <w:color w:val="auto"/>
                <w:kern w:val="0"/>
                <w:szCs w:val="21"/>
                <w:highlight w:val="none"/>
                <w:lang w:val="en-US" w:eastAsia="zh-CN"/>
              </w:rPr>
              <w:t>充电</w:t>
            </w:r>
            <w:r>
              <w:rPr>
                <w:rFonts w:hint="default" w:ascii="Times New Roman" w:hAnsi="Times New Roman" w:eastAsia="宋体" w:cs="Times New Roman"/>
                <w:color w:val="auto"/>
                <w:kern w:val="0"/>
                <w:szCs w:val="21"/>
                <w:highlight w:val="none"/>
              </w:rPr>
              <w:t>效率。评价充电桩性能及用电配置水平，计入期内</w:t>
            </w:r>
            <w:r>
              <w:rPr>
                <w:rFonts w:hint="eastAsia" w:eastAsia="宋体" w:cs="Times New Roman"/>
                <w:color w:val="auto"/>
                <w:kern w:val="0"/>
                <w:szCs w:val="21"/>
                <w:highlight w:val="none"/>
                <w:lang w:val="en-US" w:eastAsia="zh-CN"/>
              </w:rPr>
              <w:t>充电</w:t>
            </w:r>
            <w:r>
              <w:rPr>
                <w:rFonts w:hint="default" w:ascii="Times New Roman" w:hAnsi="Times New Roman" w:eastAsia="宋体" w:cs="Times New Roman"/>
                <w:color w:val="auto"/>
                <w:kern w:val="0"/>
                <w:szCs w:val="21"/>
                <w:highlight w:val="none"/>
              </w:rPr>
              <w:t>效率η=（充电量+设备自电量）/桩前电表计电量。</w:t>
            </w:r>
          </w:p>
          <w:p w14:paraId="1276E8F6">
            <w:pPr>
              <w:keepLines w:val="0"/>
              <w:pageBreakBefore w:val="0"/>
              <w:widowControl/>
              <w:kinsoku/>
              <w:wordWrap/>
              <w:overflowPunct/>
              <w:topLinePunct w:val="0"/>
              <w:bidi w:val="0"/>
              <w:adjustRightInd/>
              <w:snapToGrid/>
              <w:ind w:firstLine="0" w:firstLineChars="0"/>
              <w:rPr>
                <w:rFonts w:hint="default" w:ascii="Times New Roman" w:hAnsi="Times New Roman" w:eastAsia="宋体" w:cs="Times New Roman"/>
                <w:color w:val="auto"/>
                <w:kern w:val="0"/>
                <w:szCs w:val="21"/>
                <w:highlight w:val="none"/>
              </w:rPr>
            </w:pPr>
            <w:bookmarkStart w:id="122" w:name="OLE_LINK143"/>
            <w:r>
              <w:rPr>
                <w:rFonts w:hint="default" w:ascii="Times New Roman" w:hAnsi="Times New Roman" w:eastAsia="宋体" w:cs="Times New Roman"/>
                <w:color w:val="auto"/>
                <w:kern w:val="0"/>
                <w:szCs w:val="21"/>
                <w:highlight w:val="none"/>
                <w:lang w:val="en-US" w:eastAsia="zh-CN"/>
              </w:rPr>
              <w:t>注：</w:t>
            </w:r>
            <w:bookmarkStart w:id="123" w:name="OLE_LINK50"/>
            <w:r>
              <w:rPr>
                <w:rFonts w:hint="default" w:ascii="Times New Roman" w:hAnsi="Times New Roman" w:eastAsia="宋体" w:cs="Times New Roman"/>
                <w:color w:val="auto"/>
                <w:kern w:val="0"/>
                <w:szCs w:val="21"/>
                <w:highlight w:val="none"/>
                <w:lang w:val="en-US" w:eastAsia="zh-CN"/>
              </w:rPr>
              <w:t>中国充电联盟认可的第三方权威检测机构出具的能耗验证报告及证书中的结果可视同。</w:t>
            </w:r>
            <w:bookmarkEnd w:id="121"/>
            <w:bookmarkEnd w:id="122"/>
            <w:bookmarkEnd w:id="123"/>
          </w:p>
        </w:tc>
        <w:tc>
          <w:tcPr>
            <w:tcW w:w="3672" w:type="dxa"/>
            <w:gridSpan w:val="3"/>
            <w:tcBorders>
              <w:top w:val="nil"/>
              <w:left w:val="nil"/>
              <w:bottom w:val="single" w:color="auto" w:sz="4" w:space="0"/>
              <w:right w:val="single" w:color="auto" w:sz="4" w:space="0"/>
            </w:tcBorders>
            <w:shd w:val="clear" w:color="000000" w:fill="FFFFFF"/>
            <w:vAlign w:val="center"/>
          </w:tcPr>
          <w:p w14:paraId="33E8D344">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η＜</w:t>
            </w:r>
            <w:r>
              <w:rPr>
                <w:rFonts w:hint="default" w:ascii="Times New Roman" w:hAnsi="Times New Roman" w:eastAsia="宋体" w:cs="Times New Roman"/>
                <w:color w:val="auto"/>
                <w:kern w:val="0"/>
                <w:szCs w:val="21"/>
                <w:highlight w:val="none"/>
                <w:lang w:eastAsia="zh-CN"/>
              </w:rPr>
              <w:t>9</w:t>
            </w:r>
            <w:r>
              <w:rPr>
                <w:rFonts w:hint="default" w:ascii="Times New Roman" w:hAnsi="Times New Roman"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w:t>
            </w:r>
          </w:p>
        </w:tc>
        <w:tc>
          <w:tcPr>
            <w:tcW w:w="1125" w:type="dxa"/>
            <w:tcBorders>
              <w:top w:val="nil"/>
              <w:left w:val="nil"/>
              <w:bottom w:val="single" w:color="auto" w:sz="4" w:space="0"/>
              <w:right w:val="single" w:color="auto" w:sz="4" w:space="0"/>
            </w:tcBorders>
            <w:shd w:val="clear" w:color="000000" w:fill="FFFFFF"/>
            <w:vAlign w:val="center"/>
          </w:tcPr>
          <w:p w14:paraId="27D3F471">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9</w:t>
            </w:r>
            <w:r>
              <w:rPr>
                <w:rFonts w:hint="default" w:ascii="Times New Roman" w:hAnsi="Times New Roman" w:eastAsia="宋体" w:cs="Times New Roman"/>
                <w:color w:val="auto"/>
                <w:kern w:val="0"/>
                <w:szCs w:val="21"/>
                <w:highlight w:val="none"/>
                <w:lang w:val="en-US" w:eastAsia="zh-CN"/>
              </w:rPr>
              <w:t>5</w:t>
            </w:r>
            <w:r>
              <w:rPr>
                <w:rFonts w:hint="default" w:ascii="Times New Roman" w:hAnsi="Times New Roman" w:eastAsia="宋体" w:cs="Times New Roman"/>
                <w:color w:val="auto"/>
                <w:kern w:val="0"/>
                <w:szCs w:val="21"/>
                <w:highlight w:val="none"/>
              </w:rPr>
              <w:t>%≤η＜9</w:t>
            </w:r>
            <w:r>
              <w:rPr>
                <w:rFonts w:hint="default" w:ascii="Times New Roman" w:hAnsi="Times New Roman" w:eastAsia="宋体" w:cs="Times New Roman"/>
                <w:color w:val="auto"/>
                <w:kern w:val="0"/>
                <w:szCs w:val="21"/>
                <w:highlight w:val="none"/>
                <w:lang w:val="en-US" w:eastAsia="zh-CN"/>
              </w:rPr>
              <w:t>6</w:t>
            </w:r>
            <w:r>
              <w:rPr>
                <w:rFonts w:hint="default" w:ascii="Times New Roman" w:hAnsi="Times New Roman" w:eastAsia="宋体" w:cs="Times New Roman"/>
                <w:color w:val="auto"/>
                <w:kern w:val="0"/>
                <w:szCs w:val="21"/>
                <w:highlight w:val="none"/>
              </w:rPr>
              <w:t>%</w:t>
            </w:r>
          </w:p>
        </w:tc>
        <w:tc>
          <w:tcPr>
            <w:tcW w:w="1183" w:type="dxa"/>
            <w:tcBorders>
              <w:top w:val="nil"/>
              <w:left w:val="nil"/>
              <w:bottom w:val="single" w:color="auto" w:sz="4" w:space="0"/>
              <w:right w:val="single" w:color="auto" w:sz="4" w:space="0"/>
            </w:tcBorders>
            <w:shd w:val="clear" w:color="000000" w:fill="FFFFFF"/>
            <w:vAlign w:val="center"/>
          </w:tcPr>
          <w:p w14:paraId="0C8C6306">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η≥9</w:t>
            </w:r>
            <w:r>
              <w:rPr>
                <w:rFonts w:hint="default" w:ascii="Times New Roman" w:hAnsi="Times New Roman" w:eastAsia="宋体" w:cs="Times New Roman"/>
                <w:color w:val="auto"/>
                <w:kern w:val="0"/>
                <w:szCs w:val="21"/>
                <w:highlight w:val="none"/>
                <w:lang w:val="en-US" w:eastAsia="zh-CN"/>
              </w:rPr>
              <w:t>6</w:t>
            </w:r>
            <w:r>
              <w:rPr>
                <w:rFonts w:hint="default" w:ascii="Times New Roman" w:hAnsi="Times New Roman" w:eastAsia="宋体" w:cs="Times New Roman"/>
                <w:color w:val="auto"/>
                <w:kern w:val="0"/>
                <w:szCs w:val="21"/>
                <w:highlight w:val="none"/>
              </w:rPr>
              <w:t>%</w:t>
            </w:r>
          </w:p>
        </w:tc>
      </w:tr>
    </w:tbl>
    <w:p w14:paraId="7D9551BF">
      <w:pPr>
        <w:pStyle w:val="5"/>
        <w:keepNext/>
        <w:keepLines w:val="0"/>
        <w:pageBreakBefore w:val="0"/>
        <w:numPr>
          <w:ilvl w:val="0"/>
          <w:numId w:val="0"/>
        </w:numPr>
        <w:tabs>
          <w:tab w:val="left" w:pos="360"/>
        </w:tabs>
        <w:kinsoku/>
        <w:wordWrap/>
        <w:overflowPunct/>
        <w:topLinePunct w:val="0"/>
        <w:bidi w:val="0"/>
        <w:adjustRightInd/>
        <w:snapToGrid/>
        <w:spacing w:before="0" w:after="280" w:line="240" w:lineRule="auto"/>
        <w:ind w:firstLine="0" w:firstLineChars="0"/>
        <w:jc w:val="both"/>
        <w:outlineLvl w:val="9"/>
        <w:rPr>
          <w:rFonts w:hint="default" w:ascii="Times New Roman" w:hAnsi="Times New Roman" w:cs="Times New Roman"/>
          <w:color w:val="auto"/>
        </w:rPr>
      </w:pPr>
    </w:p>
    <w:p w14:paraId="41FC949E">
      <w:pPr>
        <w:pStyle w:val="5"/>
        <w:keepNext/>
        <w:keepLines w:val="0"/>
        <w:pageBreakBefore w:val="0"/>
        <w:numPr>
          <w:ilvl w:val="0"/>
          <w:numId w:val="0"/>
        </w:numPr>
        <w:tabs>
          <w:tab w:val="left" w:pos="323"/>
          <w:tab w:val="left" w:pos="360"/>
          <w:tab w:val="center" w:pos="7039"/>
        </w:tabs>
        <w:kinsoku/>
        <w:wordWrap/>
        <w:overflowPunct/>
        <w:topLinePunct w:val="0"/>
        <w:bidi w:val="0"/>
        <w:adjustRightInd/>
        <w:snapToGrid/>
        <w:spacing w:before="0" w:after="0" w:line="240" w:lineRule="auto"/>
        <w:ind w:firstLine="0" w:firstLineChars="0"/>
        <w:jc w:val="left"/>
        <w:rPr>
          <w:rFonts w:hint="default" w:ascii="Times New Roman" w:hAnsi="Times New Roman" w:cs="Times New Roman"/>
          <w:color w:val="auto"/>
        </w:rPr>
      </w:pPr>
    </w:p>
    <w:p w14:paraId="072FF5C9">
      <w:pPr>
        <w:pStyle w:val="5"/>
        <w:keepNext/>
        <w:keepLines w:val="0"/>
        <w:pageBreakBefore w:val="0"/>
        <w:numPr>
          <w:ilvl w:val="0"/>
          <w:numId w:val="0"/>
        </w:numPr>
        <w:shd w:val="clear" w:color="FFFFFF" w:fill="FFFFFF"/>
        <w:tabs>
          <w:tab w:val="left" w:pos="323"/>
          <w:tab w:val="left" w:pos="360"/>
          <w:tab w:val="center" w:pos="7039"/>
        </w:tabs>
        <w:kinsoku/>
        <w:wordWrap/>
        <w:overflowPunct/>
        <w:topLinePunct w:val="0"/>
        <w:bidi w:val="0"/>
        <w:adjustRightInd/>
        <w:snapToGrid/>
        <w:spacing w:before="0" w:after="0" w:line="240" w:lineRule="auto"/>
        <w:ind w:firstLine="0" w:firstLineChars="0"/>
        <w:jc w:val="left"/>
        <w:rPr>
          <w:rFonts w:hint="default" w:ascii="Times New Roman" w:hAnsi="Times New Roman" w:cs="Times New Roman"/>
          <w:b/>
          <w:bCs/>
          <w:color w:val="auto"/>
          <w:sz w:val="28"/>
          <w:szCs w:val="24"/>
          <w:highlight w:val="yellow"/>
        </w:rPr>
      </w:pPr>
      <w:r>
        <w:rPr>
          <w:rFonts w:hint="eastAsia" w:ascii="Times New Roman" w:hAnsi="Times New Roman" w:cs="Times New Roman"/>
          <w:b/>
          <w:bCs/>
          <w:color w:val="auto"/>
          <w:sz w:val="28"/>
          <w:szCs w:val="24"/>
          <w:highlight w:val="yellow"/>
          <w:lang w:val="en-US" w:eastAsia="zh-CN"/>
        </w:rPr>
        <w:t>附件3.</w:t>
      </w:r>
      <w:r>
        <w:rPr>
          <w:rFonts w:hint="default" w:ascii="Times New Roman" w:hAnsi="Times New Roman" w:cs="Times New Roman"/>
          <w:b/>
          <w:bCs/>
          <w:color w:val="auto"/>
          <w:sz w:val="28"/>
          <w:szCs w:val="24"/>
          <w:highlight w:val="yellow"/>
        </w:rPr>
        <w:t xml:space="preserve"> 加分项部分</w:t>
      </w:r>
    </w:p>
    <w:tbl>
      <w:tblPr>
        <w:tblStyle w:val="3"/>
        <w:tblW w:w="14039" w:type="dxa"/>
        <w:jc w:val="center"/>
        <w:tblLayout w:type="fixed"/>
        <w:tblCellMar>
          <w:top w:w="0" w:type="dxa"/>
          <w:left w:w="108" w:type="dxa"/>
          <w:bottom w:w="0" w:type="dxa"/>
          <w:right w:w="108" w:type="dxa"/>
        </w:tblCellMar>
      </w:tblPr>
      <w:tblGrid>
        <w:gridCol w:w="1332"/>
        <w:gridCol w:w="1432"/>
        <w:gridCol w:w="9462"/>
        <w:gridCol w:w="1813"/>
      </w:tblGrid>
      <w:tr w14:paraId="0E125942">
        <w:tblPrEx>
          <w:tblCellMar>
            <w:top w:w="0" w:type="dxa"/>
            <w:left w:w="108" w:type="dxa"/>
            <w:bottom w:w="0" w:type="dxa"/>
            <w:right w:w="108" w:type="dxa"/>
          </w:tblCellMar>
        </w:tblPrEx>
        <w:trPr>
          <w:trHeight w:val="328" w:hRule="atLeast"/>
          <w:jc w:val="center"/>
        </w:trPr>
        <w:tc>
          <w:tcPr>
            <w:tcW w:w="1332" w:type="dxa"/>
            <w:tcBorders>
              <w:top w:val="single" w:color="auto" w:sz="4" w:space="0"/>
              <w:left w:val="single" w:color="auto" w:sz="4" w:space="0"/>
              <w:bottom w:val="single" w:color="auto" w:sz="4" w:space="0"/>
              <w:right w:val="single" w:color="auto" w:sz="4" w:space="0"/>
            </w:tcBorders>
            <w:shd w:val="clear" w:color="000000" w:fill="FFFFFF"/>
            <w:vAlign w:val="center"/>
          </w:tcPr>
          <w:p w14:paraId="4FAF67E0">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1"/>
                <w:szCs w:val="21"/>
              </w:rPr>
            </w:pPr>
            <w:r>
              <w:rPr>
                <w:rFonts w:hint="default" w:ascii="Times New Roman" w:hAnsi="Times New Roman" w:eastAsia="宋体" w:cs="Times New Roman"/>
                <w:b/>
                <w:bCs/>
                <w:color w:val="auto"/>
                <w:kern w:val="0"/>
                <w:sz w:val="21"/>
                <w:szCs w:val="21"/>
              </w:rPr>
              <w:t>一级指标</w:t>
            </w: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81ECC69">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1"/>
                <w:szCs w:val="21"/>
              </w:rPr>
            </w:pPr>
            <w:r>
              <w:rPr>
                <w:rFonts w:hint="default" w:ascii="Times New Roman" w:hAnsi="Times New Roman" w:eastAsia="宋体" w:cs="Times New Roman"/>
                <w:b/>
                <w:bCs/>
                <w:color w:val="auto"/>
                <w:kern w:val="0"/>
                <w:sz w:val="21"/>
                <w:szCs w:val="21"/>
              </w:rPr>
              <w:t>二级指标</w:t>
            </w:r>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60366D53">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color w:val="auto"/>
                <w:kern w:val="0"/>
                <w:sz w:val="21"/>
                <w:szCs w:val="21"/>
              </w:rPr>
            </w:pPr>
            <w:r>
              <w:rPr>
                <w:rFonts w:hint="default" w:ascii="Times New Roman" w:hAnsi="Times New Roman" w:eastAsia="宋体" w:cs="Times New Roman"/>
                <w:b/>
                <w:bCs/>
                <w:color w:val="auto"/>
                <w:kern w:val="0"/>
                <w:sz w:val="21"/>
                <w:szCs w:val="21"/>
              </w:rPr>
              <w:t>说明</w:t>
            </w:r>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7E775C55">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1"/>
                <w:szCs w:val="21"/>
              </w:rPr>
            </w:pPr>
            <w:r>
              <w:rPr>
                <w:rFonts w:hint="default" w:ascii="Times New Roman" w:hAnsi="Times New Roman" w:eastAsia="宋体" w:cs="Times New Roman"/>
                <w:b/>
                <w:bCs/>
                <w:color w:val="auto"/>
                <w:kern w:val="0"/>
                <w:sz w:val="21"/>
                <w:szCs w:val="21"/>
              </w:rPr>
              <w:t>分值</w:t>
            </w:r>
          </w:p>
        </w:tc>
      </w:tr>
      <w:tr w14:paraId="1A9BFFDD">
        <w:tblPrEx>
          <w:tblCellMar>
            <w:top w:w="0" w:type="dxa"/>
            <w:left w:w="108" w:type="dxa"/>
            <w:bottom w:w="0" w:type="dxa"/>
            <w:right w:w="108" w:type="dxa"/>
          </w:tblCellMar>
        </w:tblPrEx>
        <w:trPr>
          <w:trHeight w:val="328" w:hRule="atLeast"/>
          <w:jc w:val="center"/>
        </w:trPr>
        <w:tc>
          <w:tcPr>
            <w:tcW w:w="14039" w:type="dxa"/>
            <w:gridSpan w:val="4"/>
            <w:tcBorders>
              <w:top w:val="single" w:color="auto" w:sz="4" w:space="0"/>
              <w:left w:val="single" w:color="auto" w:sz="4" w:space="0"/>
              <w:bottom w:val="single" w:color="auto" w:sz="4" w:space="0"/>
              <w:right w:val="single" w:color="000000" w:sz="4" w:space="0"/>
            </w:tcBorders>
            <w:shd w:val="clear" w:color="000000" w:fill="FFFFFF"/>
            <w:noWrap/>
            <w:vAlign w:val="center"/>
          </w:tcPr>
          <w:p w14:paraId="35C64A2B">
            <w:pPr>
              <w:keepLines w:val="0"/>
              <w:pageBreakBefore w:val="0"/>
              <w:widowControl/>
              <w:kinsoku/>
              <w:wordWrap/>
              <w:overflowPunct/>
              <w:topLinePunct w:val="0"/>
              <w:bidi w:val="0"/>
              <w:adjustRightInd/>
              <w:snapToGrid/>
              <w:ind w:firstLine="0" w:firstLineChars="0"/>
              <w:jc w:val="center"/>
              <w:rPr>
                <w:rFonts w:hint="default" w:ascii="Times New Roman" w:hAnsi="Times New Roman" w:eastAsia="宋体" w:cs="Times New Roman"/>
                <w:b/>
                <w:bCs/>
                <w:color w:val="auto"/>
                <w:kern w:val="0"/>
                <w:sz w:val="21"/>
                <w:szCs w:val="21"/>
              </w:rPr>
            </w:pPr>
            <w:r>
              <w:rPr>
                <w:rFonts w:hint="default" w:ascii="Times New Roman" w:hAnsi="Times New Roman" w:eastAsia="宋体" w:cs="Times New Roman"/>
                <w:b/>
                <w:bCs/>
                <w:color w:val="auto"/>
                <w:kern w:val="0"/>
                <w:sz w:val="21"/>
                <w:szCs w:val="21"/>
              </w:rPr>
              <w:t>绿色低碳</w:t>
            </w:r>
          </w:p>
        </w:tc>
      </w:tr>
      <w:tr w14:paraId="751B5600">
        <w:tblPrEx>
          <w:tblCellMar>
            <w:top w:w="0" w:type="dxa"/>
            <w:left w:w="108" w:type="dxa"/>
            <w:bottom w:w="0" w:type="dxa"/>
            <w:right w:w="108" w:type="dxa"/>
          </w:tblCellMar>
        </w:tblPrEx>
        <w:trPr>
          <w:trHeight w:val="1121" w:hRule="atLeast"/>
          <w:jc w:val="center"/>
        </w:trPr>
        <w:tc>
          <w:tcPr>
            <w:tcW w:w="1332" w:type="dxa"/>
            <w:vMerge w:val="restart"/>
            <w:tcBorders>
              <w:top w:val="nil"/>
              <w:left w:val="single" w:color="auto" w:sz="4" w:space="0"/>
              <w:right w:val="single" w:color="auto" w:sz="4" w:space="0"/>
            </w:tcBorders>
            <w:shd w:val="clear" w:color="000000" w:fill="FFFFFF"/>
            <w:noWrap/>
            <w:vAlign w:val="center"/>
          </w:tcPr>
          <w:p w14:paraId="00F80C0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绿电消纳</w:t>
            </w:r>
          </w:p>
        </w:tc>
        <w:tc>
          <w:tcPr>
            <w:tcW w:w="1432" w:type="dxa"/>
            <w:tcBorders>
              <w:top w:val="nil"/>
              <w:left w:val="nil"/>
              <w:bottom w:val="single" w:color="auto" w:sz="4" w:space="0"/>
              <w:right w:val="single" w:color="auto" w:sz="4" w:space="0"/>
            </w:tcBorders>
            <w:shd w:val="clear" w:color="000000" w:fill="FFFFFF"/>
            <w:noWrap/>
            <w:vAlign w:val="center"/>
          </w:tcPr>
          <w:p w14:paraId="16B444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绿电消纳率</w:t>
            </w:r>
          </w:p>
        </w:tc>
        <w:tc>
          <w:tcPr>
            <w:tcW w:w="9462" w:type="dxa"/>
            <w:tcBorders>
              <w:top w:val="nil"/>
              <w:left w:val="nil"/>
              <w:bottom w:val="single" w:color="auto" w:sz="4" w:space="0"/>
              <w:right w:val="single" w:color="auto" w:sz="4" w:space="0"/>
            </w:tcBorders>
            <w:shd w:val="clear" w:color="000000" w:fill="FFFFFF"/>
            <w:vAlign w:val="center"/>
          </w:tcPr>
          <w:p w14:paraId="1D6EFB21">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评价电动汽车作为充电负荷接入电网后，其对于清洁能源的消纳能力。本指标以充电网络中电动汽车总充电量作为输入，以网络中消耗清洁能源的比例评价指标的程度。消耗清洁能源的值可通过场站直接采购绿电（同时期的电力交易合同/相关证明文件）、场站采购绿证（同时期的绿证）等多种方式计量和表征，当绿电消纳率大于0时，获得相应分数，若等于0，则不计分。</w:t>
            </w:r>
          </w:p>
        </w:tc>
        <w:tc>
          <w:tcPr>
            <w:tcW w:w="1813" w:type="dxa"/>
            <w:tcBorders>
              <w:top w:val="nil"/>
              <w:left w:val="nil"/>
              <w:bottom w:val="single" w:color="auto" w:sz="4" w:space="0"/>
              <w:right w:val="single" w:color="auto" w:sz="4" w:space="0"/>
            </w:tcBorders>
            <w:shd w:val="clear" w:color="000000" w:fill="FFFFFF"/>
            <w:vAlign w:val="center"/>
          </w:tcPr>
          <w:p w14:paraId="6ECC3AC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lang w:val="en-US" w:eastAsia="zh-CN"/>
              </w:rPr>
              <w:t>0.3</w:t>
            </w:r>
            <w:r>
              <w:rPr>
                <w:rFonts w:hint="default" w:ascii="Times New Roman" w:hAnsi="Times New Roman" w:eastAsia="宋体" w:cs="Times New Roman"/>
                <w:color w:val="auto"/>
                <w:kern w:val="0"/>
                <w:szCs w:val="21"/>
              </w:rPr>
              <w:t>分</w:t>
            </w:r>
          </w:p>
        </w:tc>
      </w:tr>
      <w:tr w14:paraId="69A160A7">
        <w:tblPrEx>
          <w:tblCellMar>
            <w:top w:w="0" w:type="dxa"/>
            <w:left w:w="108" w:type="dxa"/>
            <w:bottom w:w="0" w:type="dxa"/>
            <w:right w:w="108" w:type="dxa"/>
          </w:tblCellMar>
        </w:tblPrEx>
        <w:trPr>
          <w:trHeight w:val="287" w:hRule="atLeast"/>
          <w:jc w:val="center"/>
        </w:trPr>
        <w:tc>
          <w:tcPr>
            <w:tcW w:w="1332" w:type="dxa"/>
            <w:vMerge w:val="continue"/>
            <w:tcBorders>
              <w:left w:val="single" w:color="auto" w:sz="4" w:space="0"/>
              <w:bottom w:val="single" w:color="auto" w:sz="4" w:space="0"/>
              <w:right w:val="single" w:color="auto" w:sz="4" w:space="0"/>
            </w:tcBorders>
            <w:shd w:val="clear" w:color="000000" w:fill="FFFFFF"/>
            <w:noWrap/>
            <w:vAlign w:val="center"/>
          </w:tcPr>
          <w:p w14:paraId="1F8DABE4">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Cs w:val="21"/>
              </w:rPr>
            </w:pPr>
          </w:p>
        </w:tc>
        <w:tc>
          <w:tcPr>
            <w:tcW w:w="1432" w:type="dxa"/>
            <w:tcBorders>
              <w:top w:val="nil"/>
              <w:left w:val="nil"/>
              <w:bottom w:val="single" w:color="auto" w:sz="4" w:space="0"/>
              <w:right w:val="single" w:color="auto" w:sz="4" w:space="0"/>
            </w:tcBorders>
            <w:shd w:val="clear" w:color="000000" w:fill="FFFFFF"/>
            <w:noWrap/>
            <w:vAlign w:val="center"/>
          </w:tcPr>
          <w:p w14:paraId="3B741F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有序充电</w:t>
            </w:r>
          </w:p>
        </w:tc>
        <w:tc>
          <w:tcPr>
            <w:tcW w:w="9462" w:type="dxa"/>
            <w:tcBorders>
              <w:top w:val="nil"/>
              <w:left w:val="nil"/>
              <w:bottom w:val="single" w:color="auto" w:sz="4" w:space="0"/>
              <w:right w:val="single" w:color="auto" w:sz="4" w:space="0"/>
            </w:tcBorders>
            <w:shd w:val="clear" w:color="000000" w:fill="FFFFFF"/>
            <w:vAlign w:val="center"/>
          </w:tcPr>
          <w:p w14:paraId="7237A01E">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cs="Times New Roman"/>
                <w:color w:val="auto"/>
                <w:kern w:val="0"/>
                <w:szCs w:val="21"/>
              </w:rPr>
            </w:pPr>
            <w:r>
              <w:rPr>
                <w:rFonts w:hint="default" w:ascii="Times New Roman" w:hAnsi="Times New Roman" w:cs="Times New Roman"/>
                <w:color w:val="auto"/>
                <w:szCs w:val="21"/>
              </w:rPr>
              <w:t>支持有序充电，响应国家的削峰填谷政策，鼓励有序充电设备应具备与车辆的数据交互能力。</w:t>
            </w:r>
          </w:p>
        </w:tc>
        <w:tc>
          <w:tcPr>
            <w:tcW w:w="1813" w:type="dxa"/>
            <w:tcBorders>
              <w:top w:val="nil"/>
              <w:left w:val="nil"/>
              <w:bottom w:val="single" w:color="auto" w:sz="4" w:space="0"/>
              <w:right w:val="single" w:color="auto" w:sz="4" w:space="0"/>
            </w:tcBorders>
            <w:shd w:val="clear" w:color="000000" w:fill="FFFFFF"/>
            <w:vAlign w:val="center"/>
          </w:tcPr>
          <w:p w14:paraId="5F4D11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0.</w:t>
            </w:r>
            <w:r>
              <w:rPr>
                <w:rFonts w:hint="default" w:ascii="Times New Roman" w:hAnsi="Times New Roman" w:eastAsia="宋体" w:cs="Times New Roman"/>
                <w:color w:val="auto"/>
                <w:kern w:val="0"/>
                <w:szCs w:val="21"/>
                <w:lang w:eastAsia="zh-CN"/>
              </w:rPr>
              <w:t>4</w:t>
            </w:r>
            <w:r>
              <w:rPr>
                <w:rFonts w:hint="default" w:ascii="Times New Roman" w:hAnsi="Times New Roman" w:eastAsia="宋体" w:cs="Times New Roman"/>
                <w:color w:val="auto"/>
                <w:kern w:val="0"/>
                <w:szCs w:val="21"/>
              </w:rPr>
              <w:t>分</w:t>
            </w:r>
          </w:p>
        </w:tc>
      </w:tr>
      <w:tr w14:paraId="6307EE0F">
        <w:tblPrEx>
          <w:tblCellMar>
            <w:top w:w="0" w:type="dxa"/>
            <w:left w:w="108" w:type="dxa"/>
            <w:bottom w:w="0" w:type="dxa"/>
            <w:right w:w="108" w:type="dxa"/>
          </w:tblCellMar>
        </w:tblPrEx>
        <w:trPr>
          <w:trHeight w:val="287" w:hRule="atLeast"/>
          <w:jc w:val="center"/>
        </w:trPr>
        <w:tc>
          <w:tcPr>
            <w:tcW w:w="1332" w:type="dxa"/>
            <w:vMerge w:val="restart"/>
            <w:tcBorders>
              <w:top w:val="single" w:color="auto" w:sz="4" w:space="0"/>
              <w:left w:val="single" w:color="auto" w:sz="4" w:space="0"/>
              <w:bottom w:val="single" w:color="auto" w:sz="4" w:space="0"/>
              <w:right w:val="single" w:color="auto" w:sz="4" w:space="0"/>
            </w:tcBorders>
            <w:shd w:val="clear" w:color="000000" w:fill="FFFFFF"/>
            <w:noWrap/>
            <w:vAlign w:val="center"/>
          </w:tcPr>
          <w:p w14:paraId="6A3F99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低碳项目</w:t>
            </w: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6319D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自建光伏</w:t>
            </w:r>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593AA8D4">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评价充电场站自用建设光伏发电设备，提供现场照片/建设文件等相关证明材料。</w:t>
            </w:r>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4DD601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0.</w:t>
            </w:r>
            <w:r>
              <w:rPr>
                <w:rFonts w:hint="default" w:ascii="Times New Roman" w:hAnsi="Times New Roman" w:eastAsia="宋体" w:cs="Times New Roman"/>
                <w:color w:val="auto"/>
                <w:kern w:val="0"/>
                <w:szCs w:val="21"/>
                <w:lang w:eastAsia="zh-CN"/>
              </w:rPr>
              <w:t>2</w:t>
            </w:r>
            <w:r>
              <w:rPr>
                <w:rFonts w:hint="default" w:ascii="Times New Roman" w:hAnsi="Times New Roman" w:eastAsia="宋体" w:cs="Times New Roman"/>
                <w:color w:val="auto"/>
                <w:kern w:val="0"/>
                <w:szCs w:val="21"/>
              </w:rPr>
              <w:t>分</w:t>
            </w:r>
          </w:p>
        </w:tc>
      </w:tr>
      <w:tr w14:paraId="49E68214">
        <w:tblPrEx>
          <w:tblCellMar>
            <w:top w:w="0" w:type="dxa"/>
            <w:left w:w="108" w:type="dxa"/>
            <w:bottom w:w="0" w:type="dxa"/>
            <w:right w:w="108" w:type="dxa"/>
          </w:tblCellMar>
        </w:tblPrEx>
        <w:trPr>
          <w:trHeight w:val="287" w:hRule="atLeast"/>
          <w:jc w:val="center"/>
        </w:trPr>
        <w:tc>
          <w:tcPr>
            <w:tcW w:w="1332" w:type="dxa"/>
            <w:vMerge w:val="continue"/>
            <w:tcBorders>
              <w:top w:val="single" w:color="auto" w:sz="4" w:space="0"/>
              <w:left w:val="single" w:color="auto" w:sz="4" w:space="0"/>
              <w:bottom w:val="single" w:color="auto" w:sz="4" w:space="0"/>
              <w:right w:val="single" w:color="auto" w:sz="4" w:space="0"/>
            </w:tcBorders>
            <w:shd w:val="clear" w:color="000000" w:fill="FFFFFF"/>
            <w:noWrap/>
            <w:vAlign w:val="center"/>
          </w:tcPr>
          <w:p w14:paraId="350022EA">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Cs w:val="21"/>
              </w:rPr>
            </w:pP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24AEC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储能系统</w:t>
            </w:r>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0FF879F0">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评价充电场站通过系统或微网实现储能，提供现场建设文件等相关资料，实现储能场景。</w:t>
            </w:r>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43D06C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0.</w:t>
            </w:r>
            <w:r>
              <w:rPr>
                <w:rFonts w:hint="default" w:ascii="Times New Roman" w:hAnsi="Times New Roman" w:eastAsia="宋体" w:cs="Times New Roman"/>
                <w:color w:val="auto"/>
                <w:kern w:val="0"/>
                <w:szCs w:val="21"/>
                <w:lang w:eastAsia="zh-CN"/>
              </w:rPr>
              <w:t>2</w:t>
            </w:r>
            <w:r>
              <w:rPr>
                <w:rFonts w:hint="default" w:ascii="Times New Roman" w:hAnsi="Times New Roman" w:eastAsia="宋体" w:cs="Times New Roman"/>
                <w:color w:val="auto"/>
                <w:kern w:val="0"/>
                <w:szCs w:val="21"/>
              </w:rPr>
              <w:t>分</w:t>
            </w:r>
          </w:p>
        </w:tc>
      </w:tr>
      <w:tr w14:paraId="5A0B2A87">
        <w:tblPrEx>
          <w:tblCellMar>
            <w:top w:w="0" w:type="dxa"/>
            <w:left w:w="108" w:type="dxa"/>
            <w:bottom w:w="0" w:type="dxa"/>
            <w:right w:w="108" w:type="dxa"/>
          </w:tblCellMar>
        </w:tblPrEx>
        <w:trPr>
          <w:trHeight w:val="565" w:hRule="atLeast"/>
          <w:jc w:val="center"/>
        </w:trPr>
        <w:tc>
          <w:tcPr>
            <w:tcW w:w="1332" w:type="dxa"/>
            <w:vMerge w:val="continue"/>
            <w:tcBorders>
              <w:top w:val="single" w:color="auto" w:sz="4" w:space="0"/>
              <w:left w:val="single" w:color="auto" w:sz="4" w:space="0"/>
              <w:bottom w:val="single" w:color="auto" w:sz="4" w:space="0"/>
              <w:right w:val="single" w:color="auto" w:sz="4" w:space="0"/>
            </w:tcBorders>
            <w:shd w:val="clear" w:color="000000" w:fill="FFFFFF"/>
            <w:noWrap/>
            <w:vAlign w:val="center"/>
          </w:tcPr>
          <w:p w14:paraId="38E8CA0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EA5E8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参与动力电池梯次利用</w:t>
            </w:r>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41D0FE49">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评价充电场站参与动力电池回收/动力电池梯次利用，并提供相关证明材料。</w:t>
            </w:r>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62A03A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0</w:t>
            </w:r>
            <w:r>
              <w:rPr>
                <w:rFonts w:hint="default" w:ascii="Times New Roman" w:hAnsi="Times New Roman" w:eastAsia="宋体" w:cs="Times New Roman"/>
                <w:color w:val="auto"/>
                <w:kern w:val="0"/>
                <w:szCs w:val="21"/>
                <w:lang w:val="en-US" w:eastAsia="zh-CN"/>
              </w:rPr>
              <w:t>.</w:t>
            </w:r>
            <w:r>
              <w:rPr>
                <w:rFonts w:hint="default" w:ascii="Times New Roman" w:hAnsi="Times New Roman" w:eastAsia="宋体" w:cs="Times New Roman"/>
                <w:color w:val="auto"/>
                <w:kern w:val="0"/>
                <w:szCs w:val="21"/>
                <w:lang w:eastAsia="zh-CN"/>
              </w:rPr>
              <w:t>2</w:t>
            </w:r>
            <w:r>
              <w:rPr>
                <w:rFonts w:hint="default" w:ascii="Times New Roman" w:hAnsi="Times New Roman" w:eastAsia="宋体" w:cs="Times New Roman"/>
                <w:color w:val="auto"/>
                <w:kern w:val="0"/>
                <w:szCs w:val="21"/>
              </w:rPr>
              <w:t>分</w:t>
            </w:r>
          </w:p>
        </w:tc>
      </w:tr>
      <w:tr w14:paraId="0512F356">
        <w:tblPrEx>
          <w:tblCellMar>
            <w:top w:w="0" w:type="dxa"/>
            <w:left w:w="108" w:type="dxa"/>
            <w:bottom w:w="0" w:type="dxa"/>
            <w:right w:w="108" w:type="dxa"/>
          </w:tblCellMar>
        </w:tblPrEx>
        <w:trPr>
          <w:trHeight w:val="287" w:hRule="atLeast"/>
          <w:jc w:val="center"/>
        </w:trPr>
        <w:tc>
          <w:tcPr>
            <w:tcW w:w="1403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14:paraId="080639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lang w:val="en-US" w:eastAsia="zh-CN"/>
              </w:rPr>
            </w:pPr>
            <w:bookmarkStart w:id="124" w:name="OLE_LINK119"/>
            <w:r>
              <w:rPr>
                <w:rFonts w:hint="default" w:ascii="Times New Roman" w:hAnsi="Times New Roman" w:eastAsia="宋体" w:cs="Times New Roman"/>
                <w:b/>
                <w:bCs/>
                <w:color w:val="auto"/>
                <w:kern w:val="0"/>
                <w:sz w:val="21"/>
                <w:szCs w:val="21"/>
              </w:rPr>
              <w:t>服务便利</w:t>
            </w:r>
            <w:bookmarkEnd w:id="124"/>
          </w:p>
        </w:tc>
      </w:tr>
      <w:tr w14:paraId="41C854FD">
        <w:tblPrEx>
          <w:tblCellMar>
            <w:top w:w="0" w:type="dxa"/>
            <w:left w:w="108" w:type="dxa"/>
            <w:bottom w:w="0" w:type="dxa"/>
            <w:right w:w="108" w:type="dxa"/>
          </w:tblCellMar>
        </w:tblPrEx>
        <w:trPr>
          <w:trHeight w:val="843" w:hRule="atLeast"/>
          <w:jc w:val="center"/>
        </w:trPr>
        <w:tc>
          <w:tcPr>
            <w:tcW w:w="1332" w:type="dxa"/>
            <w:vMerge w:val="restart"/>
            <w:tcBorders>
              <w:top w:val="single" w:color="auto" w:sz="4" w:space="0"/>
              <w:left w:val="single" w:color="auto" w:sz="4" w:space="0"/>
              <w:bottom w:val="single" w:color="auto" w:sz="4" w:space="0"/>
              <w:right w:val="single" w:color="auto" w:sz="4" w:space="0"/>
            </w:tcBorders>
            <w:shd w:val="clear" w:color="000000" w:fill="FFFFFF"/>
            <w:noWrap/>
            <w:vAlign w:val="center"/>
          </w:tcPr>
          <w:p w14:paraId="76C046C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rPr>
              <w:t>设施</w:t>
            </w:r>
            <w:r>
              <w:rPr>
                <w:rFonts w:hint="default" w:ascii="Times New Roman" w:hAnsi="Times New Roman" w:eastAsia="宋体" w:cs="Times New Roman"/>
                <w:color w:val="auto"/>
                <w:kern w:val="0"/>
                <w:szCs w:val="21"/>
                <w:lang w:val="en-US" w:eastAsia="zh-CN"/>
              </w:rPr>
              <w:t>服务</w:t>
            </w: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52F1D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质量水平</w:t>
            </w:r>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6863166C">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Cs w:val="21"/>
                <w:highlight w:val="none"/>
                <w:lang w:eastAsia="zh-CN"/>
              </w:rPr>
            </w:pPr>
            <w:r>
              <w:rPr>
                <w:rFonts w:hint="default" w:ascii="Times New Roman" w:hAnsi="Times New Roman" w:eastAsia="宋体" w:cs="Times New Roman"/>
                <w:color w:val="auto"/>
                <w:kern w:val="0"/>
                <w:szCs w:val="21"/>
                <w:highlight w:val="none"/>
              </w:rPr>
              <w:t>充电设施在安全性、可靠性、极限环境适应性、兼容性</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val="en-US" w:eastAsia="zh-CN"/>
              </w:rPr>
              <w:t>用户体验</w:t>
            </w:r>
            <w:r>
              <w:rPr>
                <w:rFonts w:hint="default" w:ascii="Times New Roman" w:hAnsi="Times New Roman" w:eastAsia="宋体" w:cs="Times New Roman"/>
                <w:color w:val="auto"/>
                <w:kern w:val="0"/>
                <w:szCs w:val="21"/>
                <w:highlight w:val="none"/>
              </w:rPr>
              <w:t>具有第三方</w:t>
            </w:r>
            <w:r>
              <w:rPr>
                <w:rFonts w:hint="default" w:ascii="Times New Roman" w:hAnsi="Times New Roman" w:eastAsia="宋体" w:cs="Times New Roman"/>
                <w:color w:val="auto"/>
                <w:kern w:val="0"/>
                <w:szCs w:val="21"/>
                <w:highlight w:val="none"/>
                <w:lang w:val="en-US" w:eastAsia="zh-CN"/>
              </w:rPr>
              <w:t>验证</w:t>
            </w:r>
            <w:r>
              <w:rPr>
                <w:rFonts w:hint="default" w:ascii="Times New Roman" w:hAnsi="Times New Roman" w:eastAsia="宋体" w:cs="Times New Roman"/>
                <w:color w:val="auto"/>
                <w:kern w:val="0"/>
                <w:szCs w:val="21"/>
                <w:highlight w:val="none"/>
              </w:rPr>
              <w:t>证书。</w:t>
            </w:r>
            <w:r>
              <w:rPr>
                <w:rFonts w:hint="default" w:ascii="Times New Roman" w:hAnsi="Times New Roman" w:eastAsia="宋体" w:cs="Times New Roman"/>
                <w:color w:val="auto"/>
                <w:kern w:val="0"/>
                <w:szCs w:val="21"/>
                <w:highlight w:val="none"/>
                <w:lang w:eastAsia="zh-CN"/>
              </w:rPr>
              <w:t>（</w:t>
            </w:r>
            <w:r>
              <w:rPr>
                <w:rFonts w:hint="default" w:ascii="Times New Roman" w:hAnsi="Times New Roman" w:eastAsia="宋体" w:cs="Times New Roman"/>
                <w:color w:val="auto"/>
                <w:kern w:val="0"/>
                <w:szCs w:val="21"/>
                <w:highlight w:val="none"/>
                <w:lang w:val="en-US" w:eastAsia="zh-CN"/>
              </w:rPr>
              <w:t>符合一项得0.1分</w:t>
            </w:r>
            <w:r>
              <w:rPr>
                <w:rFonts w:hint="default" w:ascii="Times New Roman" w:hAnsi="Times New Roman" w:eastAsia="宋体" w:cs="Times New Roman"/>
                <w:color w:val="auto"/>
                <w:kern w:val="0"/>
                <w:szCs w:val="21"/>
                <w:highlight w:val="none"/>
                <w:lang w:eastAsia="zh-CN"/>
              </w:rPr>
              <w:t>）</w:t>
            </w:r>
          </w:p>
          <w:p w14:paraId="5910B4DF">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Cs w:val="21"/>
                <w:highlight w:val="none"/>
                <w:lang w:eastAsia="zh-CN"/>
              </w:rPr>
            </w:pPr>
            <w:r>
              <w:rPr>
                <w:rFonts w:hint="default" w:ascii="Times New Roman" w:hAnsi="Times New Roman" w:eastAsia="宋体" w:cs="Times New Roman"/>
                <w:color w:val="auto"/>
                <w:kern w:val="0"/>
                <w:szCs w:val="21"/>
                <w:highlight w:val="none"/>
                <w:lang w:val="en-US" w:eastAsia="zh-CN"/>
              </w:rPr>
              <w:t>注：中国充电联盟认可的第三方权威检测机构出具的验证报告及证书中的结果可视同。</w:t>
            </w:r>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5C3F08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0.5分</w:t>
            </w:r>
          </w:p>
        </w:tc>
      </w:tr>
      <w:tr w14:paraId="6C83FD0D">
        <w:tblPrEx>
          <w:tblCellMar>
            <w:top w:w="0" w:type="dxa"/>
            <w:left w:w="108" w:type="dxa"/>
            <w:bottom w:w="0" w:type="dxa"/>
            <w:right w:w="108" w:type="dxa"/>
          </w:tblCellMar>
        </w:tblPrEx>
        <w:trPr>
          <w:trHeight w:val="287" w:hRule="atLeast"/>
          <w:jc w:val="center"/>
        </w:trPr>
        <w:tc>
          <w:tcPr>
            <w:tcW w:w="1332" w:type="dxa"/>
            <w:vMerge w:val="continue"/>
            <w:tcBorders>
              <w:top w:val="single" w:color="auto" w:sz="4" w:space="0"/>
              <w:left w:val="single" w:color="auto" w:sz="4" w:space="0"/>
              <w:right w:val="single" w:color="auto" w:sz="4" w:space="0"/>
            </w:tcBorders>
            <w:shd w:val="clear" w:color="000000" w:fill="FFFFFF"/>
            <w:noWrap/>
            <w:vAlign w:val="center"/>
          </w:tcPr>
          <w:p w14:paraId="0CEC6B72">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Cs w:val="21"/>
              </w:rPr>
            </w:pP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06535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计量等级</w:t>
            </w:r>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107F1DBB">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Cs w:val="21"/>
              </w:rPr>
            </w:pPr>
            <w:r>
              <w:rPr>
                <w:rFonts w:hint="default" w:ascii="Times New Roman" w:hAnsi="Times New Roman" w:eastAsia="宋体" w:cs="Times New Roman"/>
                <w:color w:val="auto"/>
                <w:kern w:val="0"/>
                <w:szCs w:val="21"/>
              </w:rPr>
              <w:t>对充电设施相关物理量的精度要求和重要程度划分的等级，电能计量设备准确度等级为1。</w:t>
            </w:r>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3BFE7B3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Cs w:val="21"/>
                <w:lang w:val="en-US" w:eastAsia="zh-CN"/>
              </w:rPr>
            </w:pPr>
            <w:r>
              <w:rPr>
                <w:rFonts w:hint="default" w:ascii="Times New Roman" w:hAnsi="Times New Roman" w:eastAsia="宋体" w:cs="Times New Roman"/>
                <w:color w:val="auto"/>
                <w:kern w:val="0"/>
                <w:szCs w:val="21"/>
                <w:lang w:val="en-US" w:eastAsia="zh-CN"/>
              </w:rPr>
              <w:t>0.</w:t>
            </w:r>
            <w:r>
              <w:rPr>
                <w:rFonts w:hint="eastAsia" w:eastAsia="宋体" w:cs="Times New Roman"/>
                <w:color w:val="auto"/>
                <w:kern w:val="0"/>
                <w:szCs w:val="21"/>
                <w:lang w:val="en-US" w:eastAsia="zh-CN"/>
              </w:rPr>
              <w:t>3</w:t>
            </w:r>
            <w:r>
              <w:rPr>
                <w:rFonts w:hint="default" w:ascii="Times New Roman" w:hAnsi="Times New Roman" w:eastAsia="宋体" w:cs="Times New Roman"/>
                <w:color w:val="auto"/>
                <w:kern w:val="0"/>
                <w:szCs w:val="21"/>
                <w:lang w:val="en-US" w:eastAsia="zh-CN"/>
              </w:rPr>
              <w:t>分</w:t>
            </w:r>
          </w:p>
        </w:tc>
      </w:tr>
      <w:tr w14:paraId="413D6E07">
        <w:tblPrEx>
          <w:tblCellMar>
            <w:top w:w="0" w:type="dxa"/>
            <w:left w:w="108" w:type="dxa"/>
            <w:bottom w:w="0" w:type="dxa"/>
            <w:right w:w="108" w:type="dxa"/>
          </w:tblCellMar>
        </w:tblPrEx>
        <w:trPr>
          <w:trHeight w:val="300" w:hRule="atLeast"/>
          <w:jc w:val="center"/>
        </w:trPr>
        <w:tc>
          <w:tcPr>
            <w:tcW w:w="1332" w:type="dxa"/>
            <w:tcBorders>
              <w:top w:val="single" w:color="auto" w:sz="4" w:space="0"/>
              <w:left w:val="single" w:color="auto" w:sz="4" w:space="0"/>
              <w:right w:val="single" w:color="auto" w:sz="4" w:space="0"/>
            </w:tcBorders>
            <w:shd w:val="clear" w:color="000000" w:fill="FFFFFF"/>
            <w:noWrap/>
            <w:vAlign w:val="center"/>
          </w:tcPr>
          <w:p w14:paraId="46DF19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lang w:val="en-US" w:eastAsia="zh-CN"/>
              </w:rPr>
            </w:pPr>
            <w:r>
              <w:rPr>
                <w:rFonts w:hint="default" w:ascii="Times New Roman" w:hAnsi="Times New Roman" w:eastAsia="宋体" w:cs="Times New Roman"/>
                <w:color w:val="auto"/>
                <w:kern w:val="0"/>
                <w:sz w:val="22"/>
                <w:szCs w:val="22"/>
                <w:lang w:val="en-US" w:eastAsia="zh-CN"/>
              </w:rPr>
              <w:t>结算服务</w:t>
            </w: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022FE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highlight w:val="none"/>
              </w:rPr>
              <w:t>支付方案</w:t>
            </w:r>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4243A535">
            <w:pPr>
              <w:pStyle w:val="7"/>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 w:val="22"/>
                <w:szCs w:val="22"/>
              </w:rPr>
            </w:pPr>
            <w:r>
              <w:rPr>
                <w:rFonts w:hint="default" w:ascii="Times New Roman" w:hAnsi="Times New Roman" w:cs="Times New Roman"/>
                <w:color w:val="auto"/>
                <w:sz w:val="22"/>
                <w:highlight w:val="none"/>
              </w:rPr>
              <w:t>具有可升级支付安全的能力，支付风控安全解决方案，</w:t>
            </w:r>
            <w:r>
              <w:rPr>
                <w:rFonts w:hint="default" w:ascii="Times New Roman" w:hAnsi="Times New Roman" w:cs="Times New Roman"/>
                <w:color w:val="auto"/>
                <w:highlight w:val="none"/>
              </w:rPr>
              <w:t>例如采用芝麻信用、微信支付分等。</w:t>
            </w:r>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4A1C220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lang w:eastAsia="zh-CN"/>
              </w:rPr>
            </w:pPr>
            <w:r>
              <w:rPr>
                <w:rFonts w:hint="default" w:ascii="Times New Roman" w:hAnsi="Times New Roman" w:eastAsia="宋体" w:cs="Times New Roman"/>
                <w:color w:val="auto"/>
                <w:kern w:val="0"/>
                <w:sz w:val="22"/>
                <w:szCs w:val="22"/>
              </w:rPr>
              <w:t>0.</w:t>
            </w:r>
            <w:r>
              <w:rPr>
                <w:rFonts w:hint="default" w:ascii="Times New Roman" w:hAnsi="Times New Roman" w:eastAsia="宋体" w:cs="Times New Roman"/>
                <w:color w:val="auto"/>
                <w:kern w:val="0"/>
                <w:sz w:val="22"/>
                <w:szCs w:val="22"/>
                <w:lang w:eastAsia="zh-CN"/>
              </w:rPr>
              <w:t>2</w:t>
            </w:r>
            <w:r>
              <w:rPr>
                <w:rFonts w:hint="default" w:ascii="Times New Roman" w:hAnsi="Times New Roman" w:eastAsia="宋体" w:cs="Times New Roman"/>
                <w:color w:val="auto"/>
                <w:kern w:val="0"/>
                <w:sz w:val="22"/>
                <w:szCs w:val="22"/>
              </w:rPr>
              <w:t>分</w:t>
            </w:r>
          </w:p>
        </w:tc>
      </w:tr>
      <w:tr w14:paraId="0B7E38F2">
        <w:tblPrEx>
          <w:tblCellMar>
            <w:top w:w="0" w:type="dxa"/>
            <w:left w:w="108" w:type="dxa"/>
            <w:bottom w:w="0" w:type="dxa"/>
            <w:right w:w="108" w:type="dxa"/>
          </w:tblCellMar>
        </w:tblPrEx>
        <w:trPr>
          <w:trHeight w:val="300" w:hRule="atLeast"/>
          <w:jc w:val="center"/>
        </w:trPr>
        <w:tc>
          <w:tcPr>
            <w:tcW w:w="1332" w:type="dxa"/>
            <w:vMerge w:val="restart"/>
            <w:tcBorders>
              <w:top w:val="single" w:color="auto" w:sz="4" w:space="0"/>
              <w:left w:val="single" w:color="auto" w:sz="4" w:space="0"/>
              <w:right w:val="single" w:color="auto" w:sz="4" w:space="0"/>
            </w:tcBorders>
            <w:shd w:val="clear" w:color="000000" w:fill="FFFFFF"/>
            <w:noWrap/>
            <w:vAlign w:val="center"/>
          </w:tcPr>
          <w:p w14:paraId="696ECF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lang w:val="en-US" w:eastAsia="zh-CN"/>
              </w:rPr>
            </w:pPr>
            <w:bookmarkStart w:id="125" w:name="OLE_LINK117" w:colFirst="1" w:colLast="2"/>
            <w:r>
              <w:rPr>
                <w:rFonts w:hint="default" w:ascii="Times New Roman" w:hAnsi="Times New Roman" w:eastAsia="宋体" w:cs="Times New Roman"/>
                <w:color w:val="auto"/>
                <w:kern w:val="0"/>
                <w:sz w:val="22"/>
                <w:szCs w:val="22"/>
              </w:rPr>
              <w:t>环境服务</w:t>
            </w: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B17DD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rPr>
            </w:pPr>
            <w:bookmarkStart w:id="126" w:name="OLE_LINK146"/>
            <w:r>
              <w:rPr>
                <w:rFonts w:hint="default" w:ascii="Times New Roman" w:hAnsi="Times New Roman" w:eastAsia="宋体" w:cs="Times New Roman"/>
                <w:color w:val="auto"/>
                <w:kern w:val="0"/>
                <w:sz w:val="22"/>
                <w:szCs w:val="22"/>
              </w:rPr>
              <w:t>配套设施</w:t>
            </w:r>
            <w:bookmarkEnd w:id="126"/>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4C79E662">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 w:val="22"/>
                <w:szCs w:val="22"/>
              </w:rPr>
            </w:pPr>
            <w:bookmarkStart w:id="127" w:name="OLE_LINK147"/>
            <w:r>
              <w:rPr>
                <w:rFonts w:hint="default" w:ascii="Times New Roman" w:hAnsi="Times New Roman" w:eastAsia="宋体" w:cs="Times New Roman"/>
                <w:color w:val="auto"/>
                <w:kern w:val="0"/>
                <w:sz w:val="22"/>
                <w:szCs w:val="22"/>
              </w:rPr>
              <w:t>场站周边步行5分钟有洗车</w:t>
            </w:r>
            <w:r>
              <w:rPr>
                <w:rFonts w:hint="default" w:ascii="Times New Roman" w:hAnsi="Times New Roman" w:eastAsia="宋体" w:cs="Times New Roman"/>
                <w:color w:val="auto"/>
                <w:kern w:val="0"/>
                <w:sz w:val="22"/>
                <w:szCs w:val="22"/>
                <w:lang w:val="en-US" w:eastAsia="zh-CN"/>
              </w:rPr>
              <w:t>或洗澡</w:t>
            </w:r>
            <w:r>
              <w:rPr>
                <w:rFonts w:hint="default" w:ascii="Times New Roman" w:hAnsi="Times New Roman" w:eastAsia="宋体" w:cs="Times New Roman"/>
                <w:color w:val="auto"/>
                <w:kern w:val="0"/>
                <w:sz w:val="22"/>
                <w:szCs w:val="22"/>
              </w:rPr>
              <w:t>或餐饮场所</w:t>
            </w:r>
            <w:r>
              <w:rPr>
                <w:rFonts w:hint="default" w:ascii="Times New Roman" w:hAnsi="Times New Roman" w:eastAsia="宋体" w:cs="Times New Roman"/>
                <w:color w:val="auto"/>
                <w:kern w:val="0"/>
                <w:sz w:val="22"/>
                <w:szCs w:val="22"/>
                <w:lang w:val="en-US" w:eastAsia="zh-CN"/>
              </w:rPr>
              <w:t>或</w:t>
            </w:r>
            <w:r>
              <w:rPr>
                <w:rFonts w:hint="default" w:ascii="Times New Roman" w:hAnsi="Times New Roman" w:eastAsia="宋体" w:cs="Times New Roman"/>
                <w:color w:val="auto"/>
                <w:kern w:val="0"/>
                <w:sz w:val="22"/>
                <w:szCs w:val="22"/>
              </w:rPr>
              <w:t>等配套设施（如为自建，则应保持整洁干净）。</w:t>
            </w:r>
            <w:bookmarkEnd w:id="127"/>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51C8670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lang w:eastAsia="zh-CN"/>
              </w:rPr>
              <w:t>0</w:t>
            </w:r>
            <w:r>
              <w:rPr>
                <w:rFonts w:hint="default" w:ascii="Times New Roman" w:hAnsi="Times New Roman" w:eastAsia="宋体" w:cs="Times New Roman"/>
                <w:color w:val="auto"/>
                <w:kern w:val="0"/>
                <w:sz w:val="22"/>
                <w:szCs w:val="22"/>
                <w:lang w:val="en-US" w:eastAsia="zh-CN"/>
              </w:rPr>
              <w:t>.5</w:t>
            </w:r>
            <w:r>
              <w:rPr>
                <w:rFonts w:hint="default" w:ascii="Times New Roman" w:hAnsi="Times New Roman" w:eastAsia="宋体" w:cs="Times New Roman"/>
                <w:color w:val="auto"/>
                <w:kern w:val="0"/>
                <w:sz w:val="22"/>
                <w:szCs w:val="22"/>
              </w:rPr>
              <w:t>分</w:t>
            </w:r>
          </w:p>
        </w:tc>
      </w:tr>
      <w:tr w14:paraId="3D1746F2">
        <w:tblPrEx>
          <w:tblCellMar>
            <w:top w:w="0" w:type="dxa"/>
            <w:left w:w="108" w:type="dxa"/>
            <w:bottom w:w="0" w:type="dxa"/>
            <w:right w:w="108" w:type="dxa"/>
          </w:tblCellMar>
        </w:tblPrEx>
        <w:trPr>
          <w:trHeight w:val="300" w:hRule="atLeast"/>
          <w:jc w:val="center"/>
        </w:trPr>
        <w:tc>
          <w:tcPr>
            <w:tcW w:w="1332" w:type="dxa"/>
            <w:vMerge w:val="continue"/>
            <w:tcBorders>
              <w:left w:val="single" w:color="auto" w:sz="4" w:space="0"/>
              <w:right w:val="single" w:color="auto" w:sz="4" w:space="0"/>
            </w:tcBorders>
            <w:shd w:val="clear" w:color="000000" w:fill="FFFFFF"/>
            <w:noWrap/>
            <w:vAlign w:val="center"/>
          </w:tcPr>
          <w:p w14:paraId="203495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rPr>
            </w:pP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47FBE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智能辅助</w:t>
            </w:r>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1A84EFA7">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场站有融合感知充电机器人或有自动充电机械臂可实现无人充电。</w:t>
            </w:r>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7725A0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lang w:val="en-US" w:eastAsia="zh-CN"/>
              </w:rPr>
            </w:pPr>
            <w:r>
              <w:rPr>
                <w:rFonts w:hint="eastAsia" w:eastAsia="宋体" w:cs="Times New Roman"/>
                <w:color w:val="auto"/>
                <w:kern w:val="0"/>
                <w:sz w:val="22"/>
                <w:szCs w:val="22"/>
                <w:lang w:val="en-US" w:eastAsia="zh-CN"/>
              </w:rPr>
              <w:t>0.2分</w:t>
            </w:r>
          </w:p>
        </w:tc>
      </w:tr>
      <w:bookmarkEnd w:id="125"/>
      <w:tr w14:paraId="1F190DFD">
        <w:tblPrEx>
          <w:tblCellMar>
            <w:top w:w="0" w:type="dxa"/>
            <w:left w:w="108" w:type="dxa"/>
            <w:bottom w:w="0" w:type="dxa"/>
            <w:right w:w="108" w:type="dxa"/>
          </w:tblCellMar>
        </w:tblPrEx>
        <w:trPr>
          <w:trHeight w:val="300" w:hRule="atLeast"/>
          <w:jc w:val="center"/>
        </w:trPr>
        <w:tc>
          <w:tcPr>
            <w:tcW w:w="1332" w:type="dxa"/>
            <w:vMerge w:val="continue"/>
            <w:tcBorders>
              <w:left w:val="single" w:color="auto" w:sz="4" w:space="0"/>
              <w:right w:val="single" w:color="auto" w:sz="4" w:space="0"/>
            </w:tcBorders>
            <w:shd w:val="clear" w:color="000000" w:fill="FFFFFF"/>
            <w:noWrap/>
            <w:vAlign w:val="center"/>
          </w:tcPr>
          <w:p w14:paraId="47405A7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lang w:val="en-US" w:eastAsia="zh-CN"/>
              </w:rPr>
            </w:pP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C430A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lang w:val="en-US" w:eastAsia="zh-CN"/>
              </w:rPr>
            </w:pPr>
            <w:bookmarkStart w:id="128" w:name="OLE_LINK148"/>
            <w:r>
              <w:rPr>
                <w:rFonts w:hint="default" w:ascii="Times New Roman" w:hAnsi="Times New Roman" w:eastAsia="宋体" w:cs="Times New Roman"/>
                <w:color w:val="auto"/>
                <w:kern w:val="0"/>
                <w:sz w:val="22"/>
                <w:szCs w:val="22"/>
                <w:lang w:val="en-US" w:eastAsia="zh-CN"/>
              </w:rPr>
              <w:t>通行效率</w:t>
            </w:r>
            <w:bookmarkEnd w:id="128"/>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5DC60061">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 w:val="22"/>
                <w:szCs w:val="22"/>
                <w:lang w:val="en-US" w:eastAsia="zh-CN"/>
              </w:rPr>
            </w:pPr>
            <w:bookmarkStart w:id="129" w:name="OLE_LINK149"/>
            <w:r>
              <w:rPr>
                <w:rFonts w:hint="default" w:ascii="Times New Roman" w:hAnsi="Times New Roman" w:eastAsia="宋体" w:cs="Times New Roman"/>
                <w:color w:val="auto"/>
                <w:kern w:val="0"/>
                <w:sz w:val="22"/>
                <w:szCs w:val="22"/>
                <w:lang w:val="en-US" w:eastAsia="zh-CN"/>
              </w:rPr>
              <w:t>场站通过布局创新提高车辆驶入、驶离充电车位效率，减少充电总用时（如穿梭站）。</w:t>
            </w:r>
            <w:bookmarkEnd w:id="129"/>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50E7FF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lang w:eastAsia="zh-CN"/>
              </w:rPr>
              <w:t>0</w:t>
            </w:r>
            <w:r>
              <w:rPr>
                <w:rFonts w:hint="default" w:ascii="Times New Roman" w:hAnsi="Times New Roman" w:eastAsia="宋体" w:cs="Times New Roman"/>
                <w:color w:val="auto"/>
                <w:kern w:val="0"/>
                <w:sz w:val="22"/>
                <w:szCs w:val="22"/>
                <w:lang w:val="en-US" w:eastAsia="zh-CN"/>
              </w:rPr>
              <w:t>.</w:t>
            </w:r>
            <w:r>
              <w:rPr>
                <w:rFonts w:hint="eastAsia" w:eastAsia="宋体" w:cs="Times New Roman"/>
                <w:color w:val="auto"/>
                <w:kern w:val="0"/>
                <w:sz w:val="22"/>
                <w:szCs w:val="22"/>
                <w:lang w:val="en-US" w:eastAsia="zh-CN"/>
              </w:rPr>
              <w:t>4</w:t>
            </w:r>
            <w:r>
              <w:rPr>
                <w:rFonts w:hint="default" w:ascii="Times New Roman" w:hAnsi="Times New Roman" w:eastAsia="宋体" w:cs="Times New Roman"/>
                <w:color w:val="auto"/>
                <w:kern w:val="0"/>
                <w:sz w:val="22"/>
                <w:szCs w:val="22"/>
              </w:rPr>
              <w:t>分</w:t>
            </w:r>
          </w:p>
        </w:tc>
      </w:tr>
      <w:tr w14:paraId="4FA2B242">
        <w:tblPrEx>
          <w:tblCellMar>
            <w:top w:w="0" w:type="dxa"/>
            <w:left w:w="108" w:type="dxa"/>
            <w:bottom w:w="0" w:type="dxa"/>
            <w:right w:w="108" w:type="dxa"/>
          </w:tblCellMar>
        </w:tblPrEx>
        <w:trPr>
          <w:trHeight w:val="300" w:hRule="atLeast"/>
          <w:jc w:val="center"/>
        </w:trPr>
        <w:tc>
          <w:tcPr>
            <w:tcW w:w="1332" w:type="dxa"/>
            <w:vMerge w:val="continue"/>
            <w:tcBorders>
              <w:left w:val="single" w:color="auto" w:sz="4" w:space="0"/>
              <w:bottom w:val="single" w:color="auto" w:sz="4" w:space="0"/>
              <w:right w:val="single" w:color="auto" w:sz="4" w:space="0"/>
            </w:tcBorders>
            <w:shd w:val="clear" w:color="000000" w:fill="FFFFFF"/>
            <w:noWrap/>
            <w:vAlign w:val="center"/>
          </w:tcPr>
          <w:p w14:paraId="615CFF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lang w:val="en-US" w:eastAsia="zh-CN"/>
              </w:rPr>
            </w:pP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C8A8E4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lang w:val="en-US" w:eastAsia="zh-CN"/>
              </w:rPr>
            </w:pPr>
            <w:r>
              <w:rPr>
                <w:rFonts w:hint="default" w:ascii="Times New Roman" w:hAnsi="Times New Roman" w:eastAsia="宋体" w:cs="Times New Roman"/>
                <w:color w:val="auto"/>
                <w:kern w:val="0"/>
                <w:sz w:val="22"/>
                <w:szCs w:val="22"/>
                <w:lang w:val="en-US" w:eastAsia="zh-CN"/>
              </w:rPr>
              <w:t>辅助引导</w:t>
            </w:r>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66D1F2B9">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 w:val="22"/>
                <w:szCs w:val="22"/>
              </w:rPr>
            </w:pPr>
            <w:bookmarkStart w:id="130" w:name="OLE_LINK150"/>
            <w:r>
              <w:rPr>
                <w:rFonts w:hint="default" w:ascii="Times New Roman" w:hAnsi="Times New Roman" w:eastAsia="宋体" w:cs="Times New Roman"/>
                <w:color w:val="auto"/>
                <w:kern w:val="0"/>
                <w:sz w:val="22"/>
                <w:szCs w:val="22"/>
              </w:rPr>
              <w:t>场站内有服务人员指引有序充电或充电操作指导。</w:t>
            </w:r>
            <w:bookmarkEnd w:id="130"/>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7A834C0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0.</w:t>
            </w:r>
            <w:r>
              <w:rPr>
                <w:rFonts w:hint="default" w:ascii="Times New Roman" w:hAnsi="Times New Roman" w:eastAsia="宋体" w:cs="Times New Roman"/>
                <w:color w:val="auto"/>
                <w:kern w:val="0"/>
                <w:sz w:val="22"/>
                <w:szCs w:val="22"/>
                <w:lang w:val="en-US" w:eastAsia="zh-CN"/>
              </w:rPr>
              <w:t>4</w:t>
            </w:r>
            <w:r>
              <w:rPr>
                <w:rFonts w:hint="default" w:ascii="Times New Roman" w:hAnsi="Times New Roman" w:eastAsia="宋体" w:cs="Times New Roman"/>
                <w:color w:val="auto"/>
                <w:kern w:val="0"/>
                <w:sz w:val="22"/>
                <w:szCs w:val="22"/>
              </w:rPr>
              <w:t>分</w:t>
            </w:r>
          </w:p>
        </w:tc>
      </w:tr>
      <w:tr w14:paraId="444212EA">
        <w:tblPrEx>
          <w:tblCellMar>
            <w:top w:w="0" w:type="dxa"/>
            <w:left w:w="108" w:type="dxa"/>
            <w:bottom w:w="0" w:type="dxa"/>
            <w:right w:w="108" w:type="dxa"/>
          </w:tblCellMar>
        </w:tblPrEx>
        <w:trPr>
          <w:trHeight w:val="287" w:hRule="atLeast"/>
          <w:jc w:val="center"/>
        </w:trPr>
        <w:tc>
          <w:tcPr>
            <w:tcW w:w="1403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14:paraId="3108F44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b/>
                <w:bCs/>
                <w:color w:val="auto"/>
                <w:kern w:val="0"/>
                <w:sz w:val="22"/>
                <w:szCs w:val="22"/>
              </w:rPr>
            </w:pPr>
            <w:r>
              <w:rPr>
                <w:rFonts w:hint="default" w:ascii="Times New Roman" w:hAnsi="Times New Roman" w:eastAsia="宋体" w:cs="Times New Roman"/>
                <w:b/>
                <w:bCs/>
                <w:color w:val="auto"/>
                <w:kern w:val="0"/>
                <w:sz w:val="21"/>
                <w:szCs w:val="21"/>
              </w:rPr>
              <w:t>运营效率</w:t>
            </w:r>
          </w:p>
        </w:tc>
      </w:tr>
      <w:tr w14:paraId="0448EFB9">
        <w:tblPrEx>
          <w:tblCellMar>
            <w:top w:w="0" w:type="dxa"/>
            <w:left w:w="108" w:type="dxa"/>
            <w:bottom w:w="0" w:type="dxa"/>
            <w:right w:w="108" w:type="dxa"/>
          </w:tblCellMar>
        </w:tblPrEx>
        <w:trPr>
          <w:trHeight w:val="843" w:hRule="atLeast"/>
          <w:jc w:val="center"/>
        </w:trPr>
        <w:tc>
          <w:tcPr>
            <w:tcW w:w="13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4FFC6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lang w:val="en-US" w:eastAsia="zh-CN"/>
              </w:rPr>
            </w:pPr>
            <w:r>
              <w:rPr>
                <w:rFonts w:hint="eastAsia" w:ascii="Times New Roman" w:hAnsi="Times New Roman" w:eastAsia="宋体" w:cs="Times New Roman"/>
                <w:color w:val="auto"/>
                <w:kern w:val="0"/>
                <w:sz w:val="22"/>
                <w:szCs w:val="22"/>
                <w:lang w:val="en-US" w:eastAsia="zh-CN"/>
              </w:rPr>
              <w:t>故障维修</w:t>
            </w: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53B3F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rPr>
            </w:pPr>
            <w:bookmarkStart w:id="131" w:name="OLE_LINK144"/>
            <w:r>
              <w:rPr>
                <w:rFonts w:hint="default" w:ascii="Times New Roman" w:hAnsi="Times New Roman" w:eastAsia="宋体" w:cs="Times New Roman"/>
                <w:color w:val="auto"/>
                <w:kern w:val="0"/>
                <w:szCs w:val="21"/>
                <w:lang w:val="en-US" w:eastAsia="zh-CN"/>
              </w:rPr>
              <w:t>运维人员</w:t>
            </w:r>
            <w:bookmarkEnd w:id="131"/>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40E649F2">
            <w:pPr>
              <w:keepNext w:val="0"/>
              <w:keepLines w:val="0"/>
              <w:pageBreakBefore w:val="0"/>
              <w:widowControl/>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宋体" w:cs="Times New Roman"/>
                <w:color w:val="auto"/>
                <w:kern w:val="0"/>
                <w:sz w:val="22"/>
                <w:szCs w:val="22"/>
              </w:rPr>
            </w:pPr>
            <w:bookmarkStart w:id="132" w:name="OLE_LINK145"/>
            <w:r>
              <w:rPr>
                <w:rFonts w:hint="default" w:ascii="Times New Roman" w:hAnsi="Times New Roman" w:eastAsia="宋体" w:cs="Times New Roman"/>
                <w:color w:val="auto"/>
                <w:kern w:val="0"/>
                <w:szCs w:val="21"/>
              </w:rPr>
              <w:t>运维人员具备电气、电子技术、网络通信的基础理论知识，有效期内低压电工作业证，</w:t>
            </w:r>
            <w:r>
              <w:rPr>
                <w:rFonts w:hint="default" w:ascii="Times New Roman" w:hAnsi="Times New Roman" w:eastAsia="宋体" w:cs="Times New Roman"/>
                <w:color w:val="auto"/>
                <w:kern w:val="0"/>
                <w:szCs w:val="21"/>
                <w:lang w:val="en-US" w:eastAsia="zh-CN"/>
              </w:rPr>
              <w:t>宜</w:t>
            </w:r>
            <w:r>
              <w:rPr>
                <w:rFonts w:hint="default" w:ascii="Times New Roman" w:hAnsi="Times New Roman" w:eastAsia="宋体" w:cs="Times New Roman"/>
                <w:color w:val="auto"/>
                <w:kern w:val="0"/>
                <w:szCs w:val="21"/>
              </w:rPr>
              <w:t>具有由中国电动汽车充电基础设施促进联盟</w:t>
            </w:r>
            <w:r>
              <w:rPr>
                <w:rFonts w:hint="eastAsia" w:eastAsia="宋体" w:cs="Times New Roman"/>
                <w:color w:val="auto"/>
                <w:kern w:val="0"/>
                <w:szCs w:val="21"/>
                <w:lang w:val="en-US" w:eastAsia="zh-CN"/>
              </w:rPr>
              <w:t>认可</w:t>
            </w:r>
            <w:r>
              <w:rPr>
                <w:rFonts w:hint="default" w:ascii="Times New Roman" w:hAnsi="Times New Roman" w:eastAsia="宋体" w:cs="Times New Roman"/>
                <w:color w:val="auto"/>
                <w:kern w:val="0"/>
                <w:szCs w:val="21"/>
              </w:rPr>
              <w:t>，工业和信息化部人才交流中心颁发的充电基础设施运维工程师高级、中级、初级课程证书，并在运维作业中，运维人员需持证上岗。</w:t>
            </w:r>
            <w:bookmarkEnd w:id="132"/>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47962E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rPr>
            </w:pPr>
            <w:r>
              <w:rPr>
                <w:rFonts w:hint="default" w:ascii="Times New Roman" w:hAnsi="Times New Roman" w:cs="Times New Roman"/>
                <w:bCs/>
                <w:color w:val="auto"/>
                <w:lang w:val="en-US" w:eastAsia="zh-CN"/>
              </w:rPr>
              <w:t>1分</w:t>
            </w:r>
          </w:p>
        </w:tc>
      </w:tr>
      <w:tr w14:paraId="3967289C">
        <w:tblPrEx>
          <w:tblCellMar>
            <w:top w:w="0" w:type="dxa"/>
            <w:left w:w="108" w:type="dxa"/>
            <w:bottom w:w="0" w:type="dxa"/>
            <w:right w:w="108" w:type="dxa"/>
          </w:tblCellMar>
        </w:tblPrEx>
        <w:trPr>
          <w:trHeight w:val="311" w:hRule="atLeast"/>
          <w:jc w:val="center"/>
        </w:trPr>
        <w:tc>
          <w:tcPr>
            <w:tcW w:w="13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73DBD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运营管理</w:t>
            </w:r>
          </w:p>
        </w:tc>
        <w:tc>
          <w:tcPr>
            <w:tcW w:w="14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3240D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电网友好</w:t>
            </w:r>
          </w:p>
        </w:tc>
        <w:tc>
          <w:tcPr>
            <w:tcW w:w="9462" w:type="dxa"/>
            <w:tcBorders>
              <w:top w:val="single" w:color="auto" w:sz="4" w:space="0"/>
              <w:left w:val="single" w:color="auto" w:sz="4" w:space="0"/>
              <w:bottom w:val="single" w:color="auto" w:sz="4" w:space="0"/>
              <w:right w:val="single" w:color="auto" w:sz="4" w:space="0"/>
            </w:tcBorders>
            <w:shd w:val="clear" w:color="000000" w:fill="FFFFFF"/>
            <w:vAlign w:val="center"/>
          </w:tcPr>
          <w:p w14:paraId="463C7DAC">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具备充电设施对电网和可再生能源系统的集成与协同控制能力。具有V2G能力。</w:t>
            </w:r>
          </w:p>
        </w:tc>
        <w:tc>
          <w:tcPr>
            <w:tcW w:w="1813" w:type="dxa"/>
            <w:tcBorders>
              <w:top w:val="single" w:color="auto" w:sz="4" w:space="0"/>
              <w:left w:val="single" w:color="auto" w:sz="4" w:space="0"/>
              <w:bottom w:val="single" w:color="auto" w:sz="4" w:space="0"/>
              <w:right w:val="single" w:color="auto" w:sz="4" w:space="0"/>
            </w:tcBorders>
            <w:shd w:val="clear" w:color="000000" w:fill="FFFFFF"/>
            <w:vAlign w:val="center"/>
          </w:tcPr>
          <w:p w14:paraId="11B04B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宋体" w:cs="Times New Roman"/>
                <w:color w:val="auto"/>
                <w:kern w:val="0"/>
                <w:sz w:val="22"/>
                <w:szCs w:val="22"/>
              </w:rPr>
            </w:pPr>
            <w:r>
              <w:rPr>
                <w:rFonts w:hint="default" w:ascii="Times New Roman" w:hAnsi="Times New Roman" w:eastAsia="宋体" w:cs="Times New Roman"/>
                <w:color w:val="auto"/>
                <w:kern w:val="0"/>
                <w:sz w:val="22"/>
                <w:szCs w:val="22"/>
              </w:rPr>
              <w:t>0.</w:t>
            </w:r>
            <w:r>
              <w:rPr>
                <w:rFonts w:hint="default" w:ascii="Times New Roman" w:hAnsi="Times New Roman" w:eastAsia="宋体" w:cs="Times New Roman"/>
                <w:color w:val="auto"/>
                <w:kern w:val="0"/>
                <w:sz w:val="22"/>
                <w:szCs w:val="22"/>
                <w:lang w:eastAsia="zh-CN"/>
              </w:rPr>
              <w:t>2</w:t>
            </w:r>
            <w:r>
              <w:rPr>
                <w:rFonts w:hint="default" w:ascii="Times New Roman" w:hAnsi="Times New Roman" w:eastAsia="宋体" w:cs="Times New Roman"/>
                <w:color w:val="auto"/>
                <w:kern w:val="0"/>
                <w:sz w:val="22"/>
                <w:szCs w:val="22"/>
              </w:rPr>
              <w:t>分</w:t>
            </w:r>
          </w:p>
        </w:tc>
      </w:tr>
    </w:tbl>
    <w:p w14:paraId="5A3CC4DC">
      <w:pPr>
        <w:ind w:right="1357" w:rightChars="646"/>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D3FBC"/>
    <w:multiLevelType w:val="multilevel"/>
    <w:tmpl w:val="657D3FBC"/>
    <w:lvl w:ilvl="0" w:tentative="0">
      <w:start w:val="1"/>
      <w:numFmt w:val="upperLetter"/>
      <w:pStyle w:val="5"/>
      <w:suff w:val="nothing"/>
      <w:lvlText w:val="附　录　%1"/>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096DC9"/>
    <w:rsid w:val="06D5163D"/>
    <w:rsid w:val="25096DC9"/>
    <w:rsid w:val="40740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附录标识"/>
    <w:basedOn w:val="6"/>
    <w:qFormat/>
    <w:uiPriority w:val="0"/>
    <w:pPr>
      <w:keepNext w:val="0"/>
      <w:pageBreakBefore w:val="0"/>
      <w:numPr>
        <w:ilvl w:val="0"/>
        <w:numId w:val="1"/>
      </w:numPr>
      <w:tabs>
        <w:tab w:val="left" w:pos="6405"/>
      </w:tabs>
      <w:adjustRightInd w:val="0"/>
      <w:snapToGrid w:val="0"/>
      <w:spacing w:after="200" w:line="240" w:lineRule="atLeast"/>
    </w:pPr>
    <w:rPr>
      <w:rFonts w:ascii="宋体" w:hAnsi="宋体" w:eastAsia="宋体"/>
      <w:sz w:val="21"/>
      <w:szCs w:val="20"/>
    </w:rPr>
  </w:style>
  <w:style w:type="paragraph" w:customStyle="1" w:styleId="6">
    <w:name w:val="前言、引言标题"/>
    <w:next w:val="7"/>
    <w:qFormat/>
    <w:uiPriority w:val="0"/>
    <w:pPr>
      <w:keepNext/>
      <w:pageBreakBefore/>
      <w:shd w:val="clear" w:color="FFFFFF" w:fill="FFFFFF"/>
      <w:spacing w:before="640" w:after="560"/>
      <w:jc w:val="center"/>
      <w:outlineLvl w:val="0"/>
    </w:pPr>
    <w:rPr>
      <w:rFonts w:ascii="黑体" w:hAnsi="Times New Roman" w:eastAsia="黑体" w:cs="Times New Roman"/>
      <w:sz w:val="32"/>
      <w:szCs w:val="22"/>
      <w:lang w:val="en-US" w:eastAsia="zh-CN" w:bidi="ar-SA"/>
    </w:rPr>
  </w:style>
  <w:style w:type="paragraph" w:customStyle="1" w:styleId="7">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8">
    <w:name w:val="Table Text"/>
    <w:basedOn w:val="1"/>
    <w:semiHidden/>
    <w:qFormat/>
    <w:uiPriority w:val="0"/>
    <w:rPr>
      <w:rFonts w:ascii="仿宋" w:hAnsi="仿宋" w:eastAsia="仿宋" w:cs="仿宋"/>
      <w:sz w:val="20"/>
      <w:szCs w:val="20"/>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5147</Words>
  <Characters>5705</Characters>
  <Lines>0</Lines>
  <Paragraphs>0</Paragraphs>
  <TotalTime>5</TotalTime>
  <ScaleCrop>false</ScaleCrop>
  <LinksUpToDate>false</LinksUpToDate>
  <CharactersWithSpaces>5714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2025-11-07T05:26:00Z</dcterms:created>
  <dc:creator>三太公</dc:creator>
  <cp:lastModifiedBy>三太公</cp:lastModifiedBy>
  <dcterms:modified xsi:type="dcterms:W3CDTF">2025-11-07T06:10:09Z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C13138F4EFB74E6ABDED58F6D5163BD2_11</vt:lpwstr>
  </property>
  <property fmtid="{D5CDD505-2E9C-101B-9397-08002B2CF9AE}" pid="4" name="KSOTemplateDocerSaveRecord">
    <vt:lpwstr>eyJoZGlkIjoiNDI1NGQ4MDY4NjMxYWVlMzc3ODM2NDE0MmU1ODUxYzYiLCJ1c2VySWQiOiIyOTM2OTU4NzUifQ==</vt:lpwstr>
  </property>
</Properties>
</file>