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4F73E">
      <w:pPr>
        <w:jc w:val="center"/>
        <w:rPr>
          <w:rStyle w:val="4"/>
          <w:rFonts w:eastAsia="方正小标宋简体"/>
          <w:b w:val="0"/>
          <w:color w:val="auto"/>
          <w:sz w:val="36"/>
          <w:szCs w:val="36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0C7F31D7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33AB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2323A955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D7EDD0A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hint="eastAsia" w:eastAsia="仿宋_GB2312"/>
                <w:b w:val="0"/>
                <w:color w:val="auto"/>
              </w:rPr>
              <w:t>大型水（海）域管道工程非开挖关键技术及工程应用</w:t>
            </w:r>
          </w:p>
        </w:tc>
      </w:tr>
      <w:tr w14:paraId="36022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1F155EA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A0C498B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eastAsia="仿宋_GB2312"/>
                <w:sz w:val="24"/>
                <w:szCs w:val="24"/>
              </w:rPr>
              <w:t>等</w:t>
            </w:r>
            <w:r>
              <w:rPr>
                <w:rFonts w:eastAsia="仿宋_GB2312"/>
                <w:sz w:val="24"/>
                <w:szCs w:val="24"/>
              </w:rPr>
              <w:t>奖</w:t>
            </w:r>
          </w:p>
        </w:tc>
      </w:tr>
      <w:tr w14:paraId="6AEDA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21FD012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68C740C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9425F3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1）发明：天然气海底管道定向钻纠偏装置、设备及施工方法；</w:t>
            </w:r>
          </w:p>
          <w:p w14:paraId="30E9313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2）发明：一种海洋地质环境探测装置；</w:t>
            </w:r>
          </w:p>
          <w:p w14:paraId="620DA78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3）发明：海底管道定向钻穿越土层适应性分析与评估系统；4）发明：一种基于深度学习的海底管道铺设智能路径规划系统；</w:t>
            </w:r>
          </w:p>
          <w:p w14:paraId="7ECB80A8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5）发明：一种海上钢制水平弯管组对焊接平台</w:t>
            </w:r>
          </w:p>
          <w:p w14:paraId="648369B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团体标准：《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海域管道水平定向钻施工技术规范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》（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T-CSPSTC 141-2024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）</w:t>
            </w:r>
          </w:p>
          <w:p w14:paraId="3B220340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7）</w:t>
            </w:r>
            <w:r>
              <w:rPr>
                <w:rFonts w:hint="eastAsia" w:eastAsia="仿宋_GB2312"/>
                <w:bCs/>
                <w:sz w:val="24"/>
                <w:szCs w:val="24"/>
              </w:rPr>
              <w:t>行标：《油气输送管道工程水平定向钻穿越设计规范》（SY/T 6968-2021）</w:t>
            </w:r>
          </w:p>
          <w:p w14:paraId="11875EF1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8）代表作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Assessing the safe transportation of multiphase pipeline by integrating mechanism and Machine learning models</w:t>
            </w:r>
          </w:p>
          <w:p w14:paraId="673F7177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9）</w:t>
            </w:r>
            <w:r>
              <w:rPr>
                <w:rFonts w:hint="eastAsia" w:ascii="仿宋" w:hAnsi="仿宋" w:eastAsia="仿宋" w:cs="仿宋"/>
                <w:sz w:val="24"/>
              </w:rPr>
              <w:t>代表作：《Sustainable crude oil transportation: design optimization for pipelines considering thermal and hydraulic energy consumption》</w:t>
            </w:r>
          </w:p>
          <w:p w14:paraId="13C97750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10）代表作：《Predicting the remaining life of oil pipeline circumferential welds based on hybrid machine learning-based methods》</w:t>
            </w:r>
            <w:bookmarkStart w:id="2" w:name="_GoBack"/>
            <w:bookmarkEnd w:id="2"/>
          </w:p>
        </w:tc>
      </w:tr>
      <w:tr w14:paraId="182C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CFFC1A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E60112E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贺云根，排名1，副高，浙江省电力建设有限公司；</w:t>
            </w:r>
          </w:p>
          <w:p w14:paraId="7D87CB93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左雷彬，排名2，正高，中国石油天然气管道工程有限公司；</w:t>
            </w:r>
          </w:p>
          <w:p w14:paraId="5DBA1EE4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王博弘，排名3，副教授，浙江海洋大学；</w:t>
            </w:r>
          </w:p>
          <w:p w14:paraId="177E4553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张文革，排名4，副高，浙江省电力建设有限公司；</w:t>
            </w:r>
          </w:p>
          <w:p w14:paraId="276BBBE5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薛建纲，排名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，副高，浙江省电力建设有限公司；</w:t>
            </w:r>
          </w:p>
          <w:p w14:paraId="6017E0A4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  军，排名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，副高，浙江省石油股份有限公司；</w:t>
            </w:r>
          </w:p>
          <w:p w14:paraId="1AD7707F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孟庆义，排名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，中级，浙江恒安泰石油工程有限责任公司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407CF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424B480A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08F87A0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1.浙江省电力建设有限公司</w:t>
            </w:r>
          </w:p>
          <w:p w14:paraId="04261A11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2.</w:t>
            </w:r>
            <w:bookmarkStart w:id="0" w:name="OLE_LINK75"/>
            <w:bookmarkStart w:id="1" w:name="OLE_LINK88"/>
            <w:r>
              <w:rPr>
                <w:rFonts w:hint="eastAsia" w:eastAsia="仿宋_GB2312"/>
                <w:bCs/>
                <w:sz w:val="24"/>
                <w:szCs w:val="24"/>
              </w:rPr>
              <w:t>中国石油天然气管道工程有限公司</w:t>
            </w:r>
            <w:bookmarkEnd w:id="0"/>
            <w:bookmarkEnd w:id="1"/>
          </w:p>
          <w:p w14:paraId="5D19DF9F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浙江海洋大学</w:t>
            </w:r>
          </w:p>
          <w:p w14:paraId="586A0B11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.浙江省石油股份有限公司</w:t>
            </w:r>
          </w:p>
          <w:p w14:paraId="2088DB86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.浙江恒安泰石油工程有限责任公司</w:t>
            </w:r>
          </w:p>
        </w:tc>
      </w:tr>
      <w:tr w14:paraId="6734B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576480B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68F57B38">
            <w:pPr>
              <w:contextualSpacing/>
              <w:jc w:val="center"/>
              <w:rPr>
                <w:rStyle w:val="4"/>
                <w:b w:val="0"/>
                <w:color w:val="auto"/>
              </w:rPr>
            </w:pPr>
            <w:r>
              <w:rPr>
                <w:rStyle w:val="4"/>
                <w:rFonts w:hint="eastAsia" w:ascii="Calibri" w:hAnsi="Calibri" w:eastAsia="仿宋_GB2312" w:cs="宋体"/>
                <w:b w:val="0"/>
                <w:color w:val="auto"/>
              </w:rPr>
              <w:t>浙江省轨道交通和能源业联合会</w:t>
            </w:r>
          </w:p>
        </w:tc>
      </w:tr>
      <w:tr w14:paraId="4AA8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271AA43C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8EA133D">
            <w:pPr>
              <w:spacing w:line="440" w:lineRule="exact"/>
              <w:ind w:firstLine="480" w:firstLineChars="200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该成果提出了海底管道定向钻穿越土层适应性分析与评估方法，开发了基于机器学习的土壤分类模型和海洋地质环境探测装备。建立了海洋管道陆海定向钻的回拖力计算模型，指导钻机选型；提出了潮位补偿装置与钢管桩悬浮连接技术，研制了海上施工作业平台，解决了海对海定向钻施工钻机船抗风浪技术难题；发明了海底管道定向钻纠偏等技术及配套装置，实现了海底深埋管道定向钻穿越的高精度对接。实现了海底管道定位误差≤0.4m。经评价委员会认定后，一致认为达到国际领先水平，项目成果在多个水（海）域管道工程中进行了应用。经济效益显著。</w:t>
            </w:r>
          </w:p>
          <w:p w14:paraId="0633F0A5">
            <w:pPr>
              <w:spacing w:line="440" w:lineRule="exact"/>
              <w:ind w:firstLine="480" w:firstLineChars="200"/>
              <w:jc w:val="left"/>
              <w:rPr>
                <w:rStyle w:val="4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提名该项目为浙江省科技进步二等奖。</w:t>
            </w:r>
          </w:p>
        </w:tc>
      </w:tr>
    </w:tbl>
    <w:p w14:paraId="61765CCF"/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0126"/>
    <w:rsid w:val="0B215144"/>
    <w:rsid w:val="13476027"/>
    <w:rsid w:val="37BE35FD"/>
    <w:rsid w:val="561816B6"/>
    <w:rsid w:val="5E384BE8"/>
    <w:rsid w:val="60116058"/>
    <w:rsid w:val="70457B3A"/>
    <w:rsid w:val="70932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1133</Characters>
  <Paragraphs>53</Paragraphs>
  <TotalTime>0</TotalTime>
  <ScaleCrop>false</ScaleCrop>
  <LinksUpToDate>false</LinksUpToDate>
  <CharactersWithSpaces>1177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2025-09-15T02:35:00Z</dcterms:created>
  <dc:creator>三太公</dc:creator>
  <cp:lastModifiedBy>宁</cp:lastModifiedBy>
  <dcterms:modified xsi:type="dcterms:W3CDTF">2025-09-25T01:37:09Z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E4440ED7699946E8AF5C76336CD2595D_13</vt:lpwstr>
  </property>
  <property fmtid="{D5CDD505-2E9C-101B-9397-08002B2CF9AE}" pid="4" name="KSOTemplateDocerSaveRecord">
    <vt:lpwstr>eyJoZGlkIjoiNmY2NjAzODY3NmY4ZmFmYTg4OGNlZWNmZGRlODdiY2IiLCJ1c2VySWQiOiI0MTQwNzY5NzEifQ==</vt:lpwstr>
  </property>
</Properties>
</file>